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מירית פולוס</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055887" w:rsidRDefault="006478B0">
                <w:pPr>
                  <w:suppressLineNumbers/>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B376C0" w:rsidP="00FD6BFF">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FD6BFF">
                  <w:rPr>
                    <w:rFonts w:ascii="Arial" w:hAnsi="Arial" w:hint="cs"/>
                    <w:b/>
                    <w:bCs/>
                    <w:noProof w:val="0"/>
                    <w:sz w:val="26"/>
                    <w:szCs w:val="26"/>
                    <w:rtl/>
                  </w:rPr>
                  <w:t>***</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FD6BFF">
                  <w:rPr>
                    <w:rFonts w:ascii="Arial" w:hAnsi="Arial" w:hint="eastAsia"/>
                    <w:b/>
                    <w:bCs/>
                    <w:noProof w:val="0"/>
                    <w:sz w:val="26"/>
                    <w:szCs w:val="26"/>
                    <w:rtl/>
                  </w:rPr>
                  <w:t>ת"</w:t>
                </w:r>
                <w:r w:rsidR="00FD6BFF">
                  <w:rPr>
                    <w:rFonts w:ascii="Arial" w:hAnsi="Arial" w:hint="cs"/>
                    <w:b/>
                    <w:bCs/>
                    <w:noProof w:val="0"/>
                    <w:sz w:val="26"/>
                    <w:szCs w:val="26"/>
                    <w:rtl/>
                  </w:rPr>
                  <w:t>ז</w:t>
                </w:r>
              </w:sdtContent>
            </w:sdt>
            <w:r w:rsidR="00E54CD9" w:rsidRPr="00E54CD9">
              <w:rPr>
                <w:rFonts w:ascii="Arial" w:hAnsi="Arial" w:hint="cs"/>
                <w:b/>
                <w:bCs/>
                <w:noProof w:val="0"/>
                <w:sz w:val="26"/>
                <w:szCs w:val="26"/>
                <w:rtl/>
              </w:rPr>
              <w:t xml:space="preserve"> </w:t>
            </w:r>
            <w:r w:rsidR="00FD6BFF">
              <w:rPr>
                <w:rFonts w:hint="cs"/>
                <w:b/>
                <w:bCs/>
                <w:noProof w:val="0"/>
                <w:sz w:val="26"/>
                <w:szCs w:val="26"/>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B376C0" w:rsidP="006478B0">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נתבע</w:t>
                </w:r>
              </w:sdtContent>
            </w:sdt>
          </w:p>
        </w:tc>
        <w:tc>
          <w:tcPr>
            <w:tcW w:w="5571" w:type="dxa"/>
          </w:tcPr>
          <w:p w:rsidR="0094424E" w:rsidRPr="00E54CD9" w:rsidRDefault="00B376C0" w:rsidP="00FD6BFF">
            <w:pPr>
              <w:suppressLineNumbers/>
              <w:rPr>
                <w:rFonts w:ascii="Arial" w:hAnsi="Arial"/>
                <w:b/>
                <w:bCs/>
                <w:noProof w:val="0"/>
                <w:sz w:val="26"/>
                <w:szCs w:val="26"/>
                <w:rtl/>
              </w:rPr>
            </w:pPr>
            <w:sdt>
              <w:sdtPr>
                <w:rPr>
                  <w:rtl/>
                </w:rPr>
                <w:alias w:val="1486"/>
                <w:tag w:val="1486"/>
                <w:id w:val="-309872140"/>
                <w:text w:multiLine="1"/>
              </w:sdtPr>
              <w:sdtEndPr/>
              <w:sdtContent>
                <w:r w:rsidR="00FD6BFF">
                  <w:rPr>
                    <w:rFonts w:ascii="Arial" w:hAnsi="Arial" w:hint="cs"/>
                    <w:b/>
                    <w:bCs/>
                    <w:noProof w:val="0"/>
                    <w:sz w:val="26"/>
                    <w:szCs w:val="26"/>
                    <w:rtl/>
                  </w:rPr>
                  <w:t xml:space="preserve">*** </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FD6BFF">
              <w:rPr>
                <w:rFonts w:ascii="Arial" w:hAnsi="Arial" w:hint="cs"/>
                <w:b/>
                <w:bCs/>
                <w:noProof w:val="0"/>
                <w:sz w:val="26"/>
                <w:szCs w:val="26"/>
                <w:rtl/>
              </w:rPr>
              <w:t>****</w:t>
            </w:r>
          </w:p>
          <w:p w:rsidR="00CF6BB7" w:rsidRDefault="00CF6BB7" w:rsidP="00D44968">
            <w:pPr>
              <w:suppressLineNumbers/>
              <w:rPr>
                <w:b/>
                <w:bCs/>
                <w:noProof w:val="0"/>
                <w:sz w:val="26"/>
                <w:szCs w:val="26"/>
                <w:rtl/>
              </w:rPr>
            </w:pPr>
          </w:p>
        </w:tc>
      </w:tr>
      <w:tr w:rsidR="00CF6BB7" w:rsidTr="00280865">
        <w:trPr>
          <w:jc w:val="center"/>
        </w:trPr>
        <w:tc>
          <w:tcPr>
            <w:tcW w:w="8820" w:type="dxa"/>
            <w:gridSpan w:val="3"/>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055887" w:rsidRDefault="00055887">
            <w:pPr>
              <w:rPr>
                <w:rFonts w:ascii="David" w:eastAsia="David" w:hAnsi="David"/>
                <w:noProof w:val="0"/>
              </w:rPr>
            </w:pPr>
          </w:p>
        </w:tc>
        <w:tc>
          <w:tcPr>
            <w:tcW w:w="5571" w:type="dxa"/>
          </w:tcPr>
          <w:p w:rsidR="00055887" w:rsidRDefault="00055887">
            <w:pPr>
              <w:rPr>
                <w:b/>
                <w:bCs/>
                <w:sz w:val="26"/>
                <w:szCs w:val="26"/>
              </w:rPr>
            </w:pPr>
          </w:p>
        </w:tc>
      </w:tr>
      <w:tr w:rsidR="004C17EE" w:rsidRPr="00E33A14" w:rsidTr="00D620FD">
        <w:trPr>
          <w:jc w:val="center"/>
        </w:trPr>
        <w:tc>
          <w:tcPr>
            <w:tcW w:w="8820" w:type="dxa"/>
            <w:gridSpan w:val="3"/>
          </w:tcPr>
          <w:p w:rsidR="00055887" w:rsidRPr="00E33A14" w:rsidRDefault="00055887">
            <w:pPr>
              <w:suppressLineNumbers/>
              <w:rPr>
                <w:rFonts w:ascii="Arial" w:hAnsi="Arial"/>
                <w:b/>
                <w:bCs/>
                <w:noProof w:val="0"/>
                <w:sz w:val="40"/>
                <w:szCs w:val="40"/>
                <w:rtl/>
              </w:rPr>
            </w:pPr>
          </w:p>
        </w:tc>
      </w:tr>
    </w:tbl>
    <w:p w:rsidR="0094424E" w:rsidRPr="00E33A14" w:rsidRDefault="0094424E" w:rsidP="00D44968">
      <w:pPr>
        <w:suppressLineNumbers/>
        <w:rPr>
          <w:sz w:val="40"/>
          <w:szCs w:val="40"/>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DE1E7D" w:rsidRDefault="00694556">
      <w:pPr>
        <w:spacing w:line="360" w:lineRule="auto"/>
        <w:jc w:val="both"/>
        <w:rPr>
          <w:rFonts w:ascii="Arial" w:hAnsi="Arial"/>
          <w:noProof w:val="0"/>
          <w:rtl/>
        </w:rPr>
      </w:pPr>
      <w:bookmarkStart w:id="0" w:name="NGCSBookmark"/>
      <w:bookmarkEnd w:id="0"/>
    </w:p>
    <w:p w:rsidR="00694556" w:rsidRPr="00DE1E7D" w:rsidRDefault="00694556">
      <w:pPr>
        <w:spacing w:line="360" w:lineRule="auto"/>
        <w:jc w:val="both"/>
        <w:rPr>
          <w:rFonts w:ascii="Arial" w:hAnsi="Arial"/>
          <w:noProof w:val="0"/>
          <w:rtl/>
        </w:rPr>
      </w:pPr>
    </w:p>
    <w:p w:rsidR="00694556" w:rsidRPr="00AD11A5" w:rsidRDefault="00FC6251" w:rsidP="005E583B">
      <w:pPr>
        <w:spacing w:after="160" w:line="360" w:lineRule="auto"/>
        <w:jc w:val="both"/>
        <w:rPr>
          <w:rFonts w:ascii="Arial" w:hAnsi="Arial"/>
          <w:noProof w:val="0"/>
          <w:rtl/>
        </w:rPr>
      </w:pPr>
      <w:r w:rsidRPr="00AD11A5">
        <w:rPr>
          <w:rFonts w:ascii="Arial" w:hAnsi="Arial" w:hint="cs"/>
          <w:noProof w:val="0"/>
          <w:rtl/>
        </w:rPr>
        <w:t>לפני בקשת הנתבעת לדחייה על הסף של התביעה</w:t>
      </w:r>
      <w:r w:rsidR="005E583B">
        <w:rPr>
          <w:rFonts w:ascii="Arial" w:hAnsi="Arial" w:hint="cs"/>
          <w:noProof w:val="0"/>
          <w:rtl/>
        </w:rPr>
        <w:t xml:space="preserve"> בהליך זה,</w:t>
      </w:r>
      <w:r w:rsidRPr="00AD11A5">
        <w:rPr>
          <w:rFonts w:ascii="Arial" w:hAnsi="Arial" w:hint="cs"/>
          <w:noProof w:val="0"/>
          <w:rtl/>
        </w:rPr>
        <w:t xml:space="preserve"> בשל </w:t>
      </w:r>
      <w:r w:rsidR="00D8313A" w:rsidRPr="00AD11A5">
        <w:rPr>
          <w:rFonts w:ascii="Arial" w:hAnsi="Arial" w:hint="cs"/>
          <w:noProof w:val="0"/>
          <w:rtl/>
        </w:rPr>
        <w:t xml:space="preserve"> קיומו של </w:t>
      </w:r>
      <w:r w:rsidRPr="00AD11A5">
        <w:rPr>
          <w:rFonts w:ascii="Arial" w:hAnsi="Arial" w:hint="cs"/>
          <w:noProof w:val="0"/>
          <w:rtl/>
        </w:rPr>
        <w:t>מעשה בי דין.</w:t>
      </w:r>
    </w:p>
    <w:p w:rsidR="00FC6251" w:rsidRDefault="00FC6251">
      <w:pPr>
        <w:spacing w:line="360" w:lineRule="auto"/>
        <w:jc w:val="both"/>
        <w:rPr>
          <w:rFonts w:ascii="Arial" w:hAnsi="Arial"/>
          <w:noProof w:val="0"/>
          <w:rtl/>
        </w:rPr>
      </w:pPr>
    </w:p>
    <w:p w:rsidR="00FC6251" w:rsidRDefault="00FC6251" w:rsidP="004D3EDE">
      <w:pPr>
        <w:spacing w:line="360" w:lineRule="auto"/>
        <w:jc w:val="both"/>
        <w:rPr>
          <w:rFonts w:ascii="Arial" w:hAnsi="Arial"/>
          <w:b/>
          <w:bCs/>
          <w:noProof w:val="0"/>
          <w:u w:val="single"/>
          <w:rtl/>
        </w:rPr>
      </w:pPr>
      <w:r w:rsidRPr="00563B3D">
        <w:rPr>
          <w:rFonts w:ascii="Arial" w:hAnsi="Arial" w:hint="cs"/>
          <w:b/>
          <w:bCs/>
          <w:noProof w:val="0"/>
          <w:u w:val="single"/>
          <w:rtl/>
        </w:rPr>
        <w:t>רקע</w:t>
      </w:r>
      <w:r w:rsidR="00AD11A5">
        <w:rPr>
          <w:rFonts w:ascii="Arial" w:hAnsi="Arial" w:hint="cs"/>
          <w:b/>
          <w:bCs/>
          <w:noProof w:val="0"/>
          <w:u w:val="single"/>
          <w:rtl/>
        </w:rPr>
        <w:t xml:space="preserve"> כללי:</w:t>
      </w:r>
    </w:p>
    <w:p w:rsidR="00AD11A5" w:rsidRPr="00563B3D" w:rsidRDefault="00AD11A5" w:rsidP="004D3EDE">
      <w:pPr>
        <w:spacing w:line="360" w:lineRule="auto"/>
        <w:jc w:val="both"/>
        <w:rPr>
          <w:rFonts w:ascii="Arial" w:hAnsi="Arial"/>
          <w:b/>
          <w:bCs/>
          <w:noProof w:val="0"/>
          <w:u w:val="single"/>
          <w:rtl/>
        </w:rPr>
      </w:pPr>
    </w:p>
    <w:p w:rsidR="00AD11A5" w:rsidRDefault="00FC6251" w:rsidP="0045255B">
      <w:pPr>
        <w:pStyle w:val="ad"/>
        <w:numPr>
          <w:ilvl w:val="0"/>
          <w:numId w:val="1"/>
        </w:numPr>
        <w:spacing w:after="160" w:line="360" w:lineRule="auto"/>
        <w:ind w:left="714" w:hanging="357"/>
        <w:contextualSpacing w:val="0"/>
        <w:jc w:val="both"/>
        <w:rPr>
          <w:rFonts w:ascii="Arial" w:hAnsi="Arial"/>
          <w:noProof w:val="0"/>
        </w:rPr>
      </w:pPr>
      <w:r w:rsidRPr="00867144">
        <w:rPr>
          <w:rFonts w:ascii="Arial" w:hAnsi="Arial" w:hint="cs"/>
          <w:noProof w:val="0"/>
          <w:rtl/>
        </w:rPr>
        <w:t xml:space="preserve">בין הצדדים </w:t>
      </w:r>
      <w:r w:rsidR="004D3EDE" w:rsidRPr="00867144">
        <w:rPr>
          <w:rFonts w:ascii="Arial" w:hAnsi="Arial" w:hint="cs"/>
          <w:noProof w:val="0"/>
          <w:rtl/>
        </w:rPr>
        <w:t xml:space="preserve">התנהלו הליכים בענייני רכוש ומזונות. </w:t>
      </w:r>
    </w:p>
    <w:p w:rsidR="00FC6251" w:rsidRPr="00867144" w:rsidRDefault="004D3EDE" w:rsidP="00AD11A5">
      <w:pPr>
        <w:pStyle w:val="ad"/>
        <w:numPr>
          <w:ilvl w:val="0"/>
          <w:numId w:val="1"/>
        </w:numPr>
        <w:spacing w:after="160" w:line="360" w:lineRule="auto"/>
        <w:ind w:left="714" w:hanging="357"/>
        <w:contextualSpacing w:val="0"/>
        <w:jc w:val="both"/>
        <w:rPr>
          <w:rFonts w:ascii="Arial" w:hAnsi="Arial"/>
          <w:noProof w:val="0"/>
          <w:rtl/>
        </w:rPr>
      </w:pPr>
      <w:r w:rsidRPr="00867144">
        <w:rPr>
          <w:rFonts w:ascii="Arial" w:hAnsi="Arial" w:hint="cs"/>
          <w:noProof w:val="0"/>
          <w:rtl/>
        </w:rPr>
        <w:t xml:space="preserve">ביום  </w:t>
      </w:r>
      <w:r w:rsidR="00FC6251" w:rsidRPr="00867144">
        <w:rPr>
          <w:rFonts w:ascii="Arial" w:hAnsi="Arial" w:hint="cs"/>
          <w:noProof w:val="0"/>
          <w:rtl/>
        </w:rPr>
        <w:t xml:space="preserve"> </w:t>
      </w:r>
      <w:r w:rsidRPr="00867144">
        <w:rPr>
          <w:rFonts w:ascii="Arial" w:hAnsi="Arial" w:hint="cs"/>
          <w:noProof w:val="0"/>
          <w:rtl/>
        </w:rPr>
        <w:t>12.5.24 בית המשפט סגר את הליך המזונות בשל העדר סמכות.</w:t>
      </w:r>
    </w:p>
    <w:p w:rsidR="00DB1E9F" w:rsidRPr="0084570C" w:rsidRDefault="00867144" w:rsidP="00AD11A5">
      <w:pPr>
        <w:pStyle w:val="ad"/>
        <w:numPr>
          <w:ilvl w:val="0"/>
          <w:numId w:val="1"/>
        </w:numPr>
        <w:spacing w:line="360" w:lineRule="auto"/>
        <w:jc w:val="both"/>
        <w:rPr>
          <w:rFonts w:ascii="Arial" w:hAnsi="Arial"/>
          <w:b/>
          <w:bCs/>
          <w:noProof w:val="0"/>
        </w:rPr>
      </w:pPr>
      <w:r>
        <w:rPr>
          <w:rFonts w:ascii="Arial" w:hAnsi="Arial" w:hint="cs"/>
          <w:noProof w:val="0"/>
          <w:rtl/>
        </w:rPr>
        <w:t xml:space="preserve">ההליך הרכושי </w:t>
      </w:r>
      <w:r w:rsidR="00AD11A5">
        <w:rPr>
          <w:rFonts w:ascii="Arial" w:hAnsi="Arial" w:hint="cs"/>
          <w:noProof w:val="0"/>
          <w:rtl/>
        </w:rPr>
        <w:t>נפתח על ידי האישה ו</w:t>
      </w:r>
      <w:r>
        <w:rPr>
          <w:rFonts w:ascii="Arial" w:hAnsi="Arial" w:hint="cs"/>
          <w:noProof w:val="0"/>
          <w:rtl/>
        </w:rPr>
        <w:t>התנהל בתלה"מ 313</w:t>
      </w:r>
      <w:r w:rsidR="0084570C">
        <w:rPr>
          <w:rFonts w:ascii="Arial" w:hAnsi="Arial" w:hint="cs"/>
          <w:noProof w:val="0"/>
          <w:rtl/>
        </w:rPr>
        <w:t xml:space="preserve">12-01-24 </w:t>
      </w:r>
      <w:r w:rsidR="0084570C" w:rsidRPr="0084570C">
        <w:rPr>
          <w:rFonts w:ascii="Arial" w:hAnsi="Arial" w:hint="cs"/>
          <w:b/>
          <w:bCs/>
          <w:noProof w:val="0"/>
          <w:rtl/>
        </w:rPr>
        <w:t>(להלן: "התביעה הרכושית")</w:t>
      </w:r>
    </w:p>
    <w:p w:rsidR="005B6AF9" w:rsidRDefault="005B6AF9" w:rsidP="005B6AF9">
      <w:pPr>
        <w:pStyle w:val="ad"/>
        <w:spacing w:line="360" w:lineRule="auto"/>
        <w:jc w:val="both"/>
        <w:rPr>
          <w:rFonts w:ascii="Arial" w:hAnsi="Arial"/>
          <w:noProof w:val="0"/>
        </w:rPr>
      </w:pPr>
    </w:p>
    <w:p w:rsidR="00DB1E9F" w:rsidRDefault="00DB1E9F" w:rsidP="00FD6BFF">
      <w:pPr>
        <w:pStyle w:val="ad"/>
        <w:numPr>
          <w:ilvl w:val="0"/>
          <w:numId w:val="1"/>
        </w:numPr>
        <w:spacing w:line="360" w:lineRule="auto"/>
        <w:jc w:val="both"/>
        <w:rPr>
          <w:rFonts w:ascii="Arial" w:hAnsi="Arial"/>
          <w:noProof w:val="0"/>
        </w:rPr>
      </w:pPr>
      <w:r>
        <w:rPr>
          <w:rFonts w:ascii="Arial" w:hAnsi="Arial" w:hint="cs"/>
          <w:noProof w:val="0"/>
          <w:rtl/>
        </w:rPr>
        <w:t xml:space="preserve">במסגרת </w:t>
      </w:r>
      <w:r w:rsidR="003F2DB5">
        <w:rPr>
          <w:rFonts w:ascii="Arial" w:hAnsi="Arial" w:hint="cs"/>
          <w:noProof w:val="0"/>
          <w:rtl/>
        </w:rPr>
        <w:t>התביעה הרכושית</w:t>
      </w:r>
      <w:r>
        <w:rPr>
          <w:rFonts w:ascii="Arial" w:hAnsi="Arial" w:hint="cs"/>
          <w:noProof w:val="0"/>
          <w:rtl/>
        </w:rPr>
        <w:t xml:space="preserve"> </w:t>
      </w:r>
      <w:r w:rsidR="00AD11A5">
        <w:rPr>
          <w:rFonts w:ascii="Arial" w:hAnsi="Arial" w:hint="cs"/>
          <w:noProof w:val="0"/>
          <w:rtl/>
        </w:rPr>
        <w:t xml:space="preserve">שהגישה, </w:t>
      </w:r>
      <w:r>
        <w:rPr>
          <w:rFonts w:ascii="Arial" w:hAnsi="Arial" w:hint="cs"/>
          <w:noProof w:val="0"/>
          <w:rtl/>
        </w:rPr>
        <w:t xml:space="preserve">ציינה האישה כי היא </w:t>
      </w:r>
      <w:r w:rsidR="00FD6BFF">
        <w:rPr>
          <w:rFonts w:ascii="Arial" w:hAnsi="Arial" w:hint="cs"/>
          <w:noProof w:val="0"/>
          <w:rtl/>
        </w:rPr>
        <w:t>***</w:t>
      </w:r>
      <w:r>
        <w:rPr>
          <w:rFonts w:ascii="Arial" w:hAnsi="Arial" w:hint="cs"/>
          <w:noProof w:val="0"/>
          <w:rtl/>
        </w:rPr>
        <w:t xml:space="preserve">. בעבר היתה בעלת משרד קטן בעיר </w:t>
      </w:r>
      <w:r w:rsidR="00FD6BFF">
        <w:rPr>
          <w:rFonts w:ascii="Arial" w:hAnsi="Arial" w:hint="cs"/>
          <w:noProof w:val="0"/>
          <w:rtl/>
        </w:rPr>
        <w:t>***,</w:t>
      </w:r>
      <w:r>
        <w:rPr>
          <w:rFonts w:ascii="Arial" w:hAnsi="Arial" w:hint="cs"/>
          <w:noProof w:val="0"/>
          <w:rtl/>
        </w:rPr>
        <w:t xml:space="preserve"> שנסגר לנוכח המצב הבטחוני, וכיום עובדת מהבית</w:t>
      </w:r>
      <w:r w:rsidR="00915FBD">
        <w:rPr>
          <w:rFonts w:ascii="Arial" w:hAnsi="Arial" w:hint="cs"/>
          <w:noProof w:val="0"/>
          <w:rtl/>
        </w:rPr>
        <w:t xml:space="preserve"> </w:t>
      </w:r>
      <w:r w:rsidR="00915FBD" w:rsidRPr="00915FBD">
        <w:rPr>
          <w:rFonts w:ascii="Arial" w:hAnsi="Arial" w:hint="cs"/>
          <w:b/>
          <w:bCs/>
          <w:noProof w:val="0"/>
          <w:rtl/>
        </w:rPr>
        <w:t>(להלן: "העסק")</w:t>
      </w:r>
      <w:r w:rsidRPr="00915FBD">
        <w:rPr>
          <w:rFonts w:ascii="Arial" w:hAnsi="Arial" w:hint="cs"/>
          <w:b/>
          <w:bCs/>
          <w:noProof w:val="0"/>
          <w:rtl/>
        </w:rPr>
        <w:t>.</w:t>
      </w:r>
    </w:p>
    <w:p w:rsidR="00D26F26" w:rsidRPr="00D26F26" w:rsidRDefault="00D26F26" w:rsidP="00D26F26">
      <w:pPr>
        <w:pStyle w:val="ad"/>
        <w:rPr>
          <w:rFonts w:ascii="Arial" w:hAnsi="Arial"/>
          <w:noProof w:val="0"/>
          <w:rtl/>
        </w:rPr>
      </w:pPr>
    </w:p>
    <w:p w:rsidR="00DB1E9F" w:rsidRDefault="00DB1E9F" w:rsidP="00FD6BFF">
      <w:pPr>
        <w:pStyle w:val="ad"/>
        <w:numPr>
          <w:ilvl w:val="0"/>
          <w:numId w:val="1"/>
        </w:numPr>
        <w:spacing w:line="360" w:lineRule="auto"/>
        <w:jc w:val="both"/>
        <w:rPr>
          <w:rFonts w:ascii="Arial" w:hAnsi="Arial"/>
          <w:noProof w:val="0"/>
        </w:rPr>
      </w:pPr>
      <w:r>
        <w:rPr>
          <w:rFonts w:ascii="Arial" w:hAnsi="Arial" w:hint="cs"/>
          <w:noProof w:val="0"/>
          <w:rtl/>
        </w:rPr>
        <w:t>בכתב ההגנה שהגיש האיש באותו ההליך, טען במספר סעיפים לעניין העסק של ה</w:t>
      </w:r>
      <w:r w:rsidR="00AD11A5">
        <w:rPr>
          <w:rFonts w:ascii="Arial" w:hAnsi="Arial" w:hint="cs"/>
          <w:noProof w:val="0"/>
          <w:rtl/>
        </w:rPr>
        <w:t>אישה</w:t>
      </w:r>
      <w:r>
        <w:rPr>
          <w:rFonts w:ascii="Arial" w:hAnsi="Arial" w:hint="cs"/>
          <w:noProof w:val="0"/>
          <w:rtl/>
        </w:rPr>
        <w:t xml:space="preserve">. האיש טען באופן מפורש כי יש לפסוק לו בגין קיומו של </w:t>
      </w:r>
      <w:r w:rsidR="005E583B">
        <w:rPr>
          <w:rFonts w:ascii="Arial" w:hAnsi="Arial" w:hint="cs"/>
          <w:noProof w:val="0"/>
          <w:rtl/>
        </w:rPr>
        <w:t>ה</w:t>
      </w:r>
      <w:r>
        <w:rPr>
          <w:rFonts w:ascii="Arial" w:hAnsi="Arial" w:hint="cs"/>
          <w:noProof w:val="0"/>
          <w:rtl/>
        </w:rPr>
        <w:t xml:space="preserve">עסק </w:t>
      </w:r>
      <w:r w:rsidRPr="005B6AF9">
        <w:rPr>
          <w:rFonts w:ascii="Arial" w:hAnsi="Arial" w:hint="cs"/>
          <w:b/>
          <w:bCs/>
          <w:noProof w:val="0"/>
          <w:rtl/>
        </w:rPr>
        <w:t>"חלק גדול יותר בזכויות, לשם פיצוי על פערי השתכרות ו/או המוניטין שצברה התובעת בזכות תמיכתו..."</w:t>
      </w:r>
      <w:r>
        <w:rPr>
          <w:rFonts w:ascii="Arial" w:hAnsi="Arial" w:hint="cs"/>
          <w:noProof w:val="0"/>
          <w:rtl/>
        </w:rPr>
        <w:t xml:space="preserve"> (ראה סעיף 10 </w:t>
      </w:r>
      <w:r>
        <w:rPr>
          <w:rFonts w:ascii="Arial" w:hAnsi="Arial" w:hint="cs"/>
          <w:noProof w:val="0"/>
          <w:rtl/>
        </w:rPr>
        <w:lastRenderedPageBreak/>
        <w:t>לכתב ההגנה).</w:t>
      </w:r>
      <w:r w:rsidR="005B6AF9">
        <w:rPr>
          <w:rFonts w:ascii="Arial" w:hAnsi="Arial" w:hint="cs"/>
          <w:noProof w:val="0"/>
          <w:rtl/>
        </w:rPr>
        <w:t xml:space="preserve"> כן טען בכתב ההגנה כי </w:t>
      </w:r>
      <w:r w:rsidR="005B6AF9" w:rsidRPr="005B6AF9">
        <w:rPr>
          <w:rFonts w:ascii="Arial" w:hAnsi="Arial" w:hint="cs"/>
          <w:b/>
          <w:bCs/>
          <w:noProof w:val="0"/>
          <w:rtl/>
        </w:rPr>
        <w:t xml:space="preserve">"יש לערוך בדיקה של הנכסים והזכויות של שני  הצדדים, לרבות בדיקת חשבונות הבנק של התובעת, לרבות חשבונה העסקי, וכן להעריך את השווי העסקי ושווי המוניטין שלה </w:t>
      </w:r>
      <w:r w:rsidR="00FD6BFF">
        <w:rPr>
          <w:rFonts w:ascii="Arial" w:hAnsi="Arial" w:hint="cs"/>
          <w:b/>
          <w:bCs/>
          <w:noProof w:val="0"/>
          <w:rtl/>
        </w:rPr>
        <w:t>כ***</w:t>
      </w:r>
      <w:r w:rsidR="005B6AF9" w:rsidRPr="005B6AF9">
        <w:rPr>
          <w:rFonts w:ascii="Arial" w:hAnsi="Arial" w:hint="cs"/>
          <w:b/>
          <w:bCs/>
          <w:noProof w:val="0"/>
          <w:rtl/>
        </w:rPr>
        <w:t>. לשם כך יש למנות רו"ח אשר יבדוק את חשבונות הבנק של התובעת, ואת המסמכים החשבונאיים של העסק שלה, ויוכל להעריך את שווי העסק ואת שווי המוניטין..."</w:t>
      </w:r>
      <w:r w:rsidR="005B6AF9">
        <w:rPr>
          <w:rFonts w:ascii="Arial" w:hAnsi="Arial" w:hint="cs"/>
          <w:noProof w:val="0"/>
          <w:rtl/>
        </w:rPr>
        <w:t xml:space="preserve"> (סעיף 15 לכתב ההגנה).</w:t>
      </w:r>
    </w:p>
    <w:p w:rsidR="00DB1E9F" w:rsidRDefault="00DB1E9F" w:rsidP="005B6AF9">
      <w:pPr>
        <w:pStyle w:val="ad"/>
        <w:spacing w:line="360" w:lineRule="auto"/>
        <w:jc w:val="both"/>
        <w:rPr>
          <w:rFonts w:ascii="Arial" w:hAnsi="Arial"/>
          <w:noProof w:val="0"/>
        </w:rPr>
      </w:pPr>
    </w:p>
    <w:p w:rsidR="004D3EDE" w:rsidRDefault="004D3EDE" w:rsidP="0084570C">
      <w:pPr>
        <w:pStyle w:val="ad"/>
        <w:numPr>
          <w:ilvl w:val="0"/>
          <w:numId w:val="1"/>
        </w:numPr>
        <w:spacing w:line="360" w:lineRule="auto"/>
        <w:jc w:val="both"/>
        <w:rPr>
          <w:rFonts w:ascii="Arial" w:hAnsi="Arial"/>
          <w:noProof w:val="0"/>
        </w:rPr>
      </w:pPr>
      <w:r w:rsidRPr="00E82903">
        <w:rPr>
          <w:rFonts w:ascii="Arial" w:hAnsi="Arial" w:hint="cs"/>
          <w:noProof w:val="0"/>
          <w:rtl/>
        </w:rPr>
        <w:t xml:space="preserve">ביום 22.5.24 </w:t>
      </w:r>
      <w:r w:rsidR="006440C6">
        <w:rPr>
          <w:rFonts w:ascii="Arial" w:hAnsi="Arial" w:hint="cs"/>
          <w:noProof w:val="0"/>
          <w:rtl/>
        </w:rPr>
        <w:t>במהלך דיון, הגיעו הצדדים לה</w:t>
      </w:r>
      <w:r w:rsidR="005E583B">
        <w:rPr>
          <w:rFonts w:ascii="Arial" w:hAnsi="Arial" w:hint="cs"/>
          <w:noProof w:val="0"/>
          <w:rtl/>
        </w:rPr>
        <w:t>סכ</w:t>
      </w:r>
      <w:r w:rsidR="0084570C">
        <w:rPr>
          <w:rFonts w:ascii="Arial" w:hAnsi="Arial" w:hint="cs"/>
          <w:noProof w:val="0"/>
          <w:rtl/>
        </w:rPr>
        <w:t>ם בתביעה הרכושית</w:t>
      </w:r>
      <w:r w:rsidR="006440C6">
        <w:rPr>
          <w:rFonts w:ascii="Arial" w:hAnsi="Arial" w:hint="cs"/>
          <w:noProof w:val="0"/>
          <w:rtl/>
        </w:rPr>
        <w:t xml:space="preserve"> והתיק נסגר לאחר שניתן להסכמות</w:t>
      </w:r>
      <w:r w:rsidR="005E583B">
        <w:rPr>
          <w:rFonts w:ascii="Arial" w:hAnsi="Arial" w:hint="cs"/>
          <w:noProof w:val="0"/>
          <w:rtl/>
        </w:rPr>
        <w:t>יהם</w:t>
      </w:r>
      <w:r w:rsidR="006440C6">
        <w:rPr>
          <w:rFonts w:ascii="Arial" w:hAnsi="Arial" w:hint="cs"/>
          <w:noProof w:val="0"/>
          <w:rtl/>
        </w:rPr>
        <w:t xml:space="preserve"> תוקף של פסק דין. פסק הדין ניתן לאחר שבית המשפט שוכנע כי הצדדים עשו את ההסכם מרצונם החופשי, ובהתאם לחוק יחסי ממון בין בני זוג התשל"ג </w:t>
      </w:r>
      <w:r w:rsidR="006440C6">
        <w:rPr>
          <w:rFonts w:ascii="Arial" w:hAnsi="Arial"/>
          <w:noProof w:val="0"/>
          <w:rtl/>
        </w:rPr>
        <w:t>–</w:t>
      </w:r>
      <w:r w:rsidR="006440C6">
        <w:rPr>
          <w:rFonts w:ascii="Arial" w:hAnsi="Arial" w:hint="cs"/>
          <w:noProof w:val="0"/>
          <w:rtl/>
        </w:rPr>
        <w:t xml:space="preserve"> 1973 וחוק בית המשפט לענייני משפחה תשנ"ה </w:t>
      </w:r>
      <w:r w:rsidR="006440C6">
        <w:rPr>
          <w:rFonts w:ascii="Arial" w:hAnsi="Arial"/>
          <w:noProof w:val="0"/>
          <w:rtl/>
        </w:rPr>
        <w:t>–</w:t>
      </w:r>
      <w:r w:rsidR="006440C6">
        <w:rPr>
          <w:rFonts w:ascii="Arial" w:hAnsi="Arial" w:hint="cs"/>
          <w:noProof w:val="0"/>
          <w:rtl/>
        </w:rPr>
        <w:t xml:space="preserve"> 1995.</w:t>
      </w:r>
    </w:p>
    <w:p w:rsidR="006440C6" w:rsidRPr="006440C6" w:rsidRDefault="006440C6" w:rsidP="006440C6">
      <w:pPr>
        <w:pStyle w:val="ad"/>
        <w:rPr>
          <w:rFonts w:ascii="Arial" w:hAnsi="Arial"/>
          <w:noProof w:val="0"/>
          <w:rtl/>
        </w:rPr>
      </w:pPr>
    </w:p>
    <w:p w:rsidR="006440C6" w:rsidRDefault="006440C6" w:rsidP="00AD11A5">
      <w:pPr>
        <w:pStyle w:val="ad"/>
        <w:numPr>
          <w:ilvl w:val="0"/>
          <w:numId w:val="1"/>
        </w:numPr>
        <w:spacing w:line="360" w:lineRule="auto"/>
        <w:jc w:val="both"/>
        <w:rPr>
          <w:rFonts w:ascii="Arial" w:hAnsi="Arial"/>
          <w:noProof w:val="0"/>
          <w:u w:val="single"/>
        </w:rPr>
      </w:pPr>
      <w:r>
        <w:rPr>
          <w:rFonts w:ascii="Arial" w:hAnsi="Arial" w:hint="cs"/>
          <w:noProof w:val="0"/>
          <w:rtl/>
        </w:rPr>
        <w:t>בהתאם להסכם,  ובכל הנוגע לעסק, נקבע כי ימונה אקטואר, אשר לצד איזון הזכויות הסוציאליות ו</w:t>
      </w:r>
      <w:r w:rsidR="00232EFA">
        <w:rPr>
          <w:rFonts w:ascii="Arial" w:hAnsi="Arial" w:hint="cs"/>
          <w:noProof w:val="0"/>
          <w:rtl/>
        </w:rPr>
        <w:t xml:space="preserve">הזכויות </w:t>
      </w:r>
      <w:r>
        <w:rPr>
          <w:rFonts w:ascii="Arial" w:hAnsi="Arial" w:hint="cs"/>
          <w:noProof w:val="0"/>
          <w:rtl/>
        </w:rPr>
        <w:t xml:space="preserve">הכספיות </w:t>
      </w:r>
      <w:r w:rsidR="00232EFA">
        <w:rPr>
          <w:rFonts w:ascii="Arial" w:hAnsi="Arial" w:hint="cs"/>
          <w:noProof w:val="0"/>
          <w:rtl/>
        </w:rPr>
        <w:t xml:space="preserve">בחשבונות הצדדים </w:t>
      </w:r>
      <w:r w:rsidR="00AD11A5">
        <w:rPr>
          <w:rFonts w:ascii="Arial" w:hAnsi="Arial" w:hint="cs"/>
          <w:noProof w:val="0"/>
          <w:rtl/>
        </w:rPr>
        <w:t>המשותפים והנפרדים</w:t>
      </w:r>
      <w:r w:rsidR="00232EFA">
        <w:rPr>
          <w:rFonts w:ascii="Arial" w:hAnsi="Arial" w:hint="cs"/>
          <w:noProof w:val="0"/>
          <w:rtl/>
        </w:rPr>
        <w:t xml:space="preserve">, </w:t>
      </w:r>
      <w:r w:rsidR="00232EFA" w:rsidRPr="00232EFA">
        <w:rPr>
          <w:rFonts w:ascii="Arial" w:hAnsi="Arial" w:hint="cs"/>
          <w:noProof w:val="0"/>
          <w:u w:val="single"/>
          <w:rtl/>
        </w:rPr>
        <w:t xml:space="preserve">יאזן גם כספים בחשבונות העסק, </w:t>
      </w:r>
      <w:r w:rsidRPr="00232EFA">
        <w:rPr>
          <w:rFonts w:ascii="Arial" w:hAnsi="Arial" w:hint="cs"/>
          <w:noProof w:val="0"/>
          <w:u w:val="single"/>
          <w:rtl/>
        </w:rPr>
        <w:t>בכפוף לחיובי מס</w:t>
      </w:r>
      <w:r w:rsidR="00232EFA" w:rsidRPr="00232EFA">
        <w:rPr>
          <w:rFonts w:ascii="Arial" w:hAnsi="Arial" w:hint="cs"/>
          <w:noProof w:val="0"/>
          <w:u w:val="single"/>
          <w:rtl/>
        </w:rPr>
        <w:t>.</w:t>
      </w:r>
    </w:p>
    <w:p w:rsidR="00232EFA" w:rsidRPr="00232EFA" w:rsidRDefault="00232EFA" w:rsidP="00232EFA">
      <w:pPr>
        <w:pStyle w:val="ad"/>
        <w:rPr>
          <w:rFonts w:ascii="Arial" w:hAnsi="Arial"/>
          <w:noProof w:val="0"/>
          <w:u w:val="single"/>
          <w:rtl/>
        </w:rPr>
      </w:pPr>
    </w:p>
    <w:p w:rsidR="00232EFA" w:rsidRPr="00232EFA" w:rsidRDefault="00232EFA" w:rsidP="0084570C">
      <w:pPr>
        <w:pStyle w:val="ad"/>
        <w:numPr>
          <w:ilvl w:val="0"/>
          <w:numId w:val="1"/>
        </w:numPr>
        <w:spacing w:line="360" w:lineRule="auto"/>
        <w:jc w:val="both"/>
        <w:rPr>
          <w:rFonts w:ascii="Arial" w:hAnsi="Arial"/>
          <w:noProof w:val="0"/>
          <w:u w:val="single"/>
          <w:rtl/>
        </w:rPr>
      </w:pPr>
      <w:r>
        <w:rPr>
          <w:rFonts w:ascii="Arial" w:hAnsi="Arial" w:hint="cs"/>
          <w:noProof w:val="0"/>
          <w:rtl/>
        </w:rPr>
        <w:t xml:space="preserve">ביום 28.11.24, </w:t>
      </w:r>
      <w:r w:rsidR="00AD11A5">
        <w:rPr>
          <w:rFonts w:ascii="Arial" w:hAnsi="Arial" w:hint="cs"/>
          <w:noProof w:val="0"/>
          <w:rtl/>
        </w:rPr>
        <w:t>כח</w:t>
      </w:r>
      <w:r w:rsidR="002B749A">
        <w:rPr>
          <w:rFonts w:ascii="Arial" w:hAnsi="Arial" w:hint="cs"/>
          <w:noProof w:val="0"/>
          <w:rtl/>
        </w:rPr>
        <w:t>צי שנה לאחר אישור ההסכם בת</w:t>
      </w:r>
      <w:r w:rsidR="0084570C">
        <w:rPr>
          <w:rFonts w:ascii="Arial" w:hAnsi="Arial" w:hint="cs"/>
          <w:noProof w:val="0"/>
          <w:rtl/>
        </w:rPr>
        <w:t>ביעה הרכושית</w:t>
      </w:r>
      <w:r w:rsidR="002B749A">
        <w:rPr>
          <w:rFonts w:ascii="Arial" w:hAnsi="Arial" w:hint="cs"/>
          <w:noProof w:val="0"/>
          <w:rtl/>
        </w:rPr>
        <w:t xml:space="preserve">, </w:t>
      </w:r>
      <w:r>
        <w:rPr>
          <w:rFonts w:ascii="Arial" w:hAnsi="Arial" w:hint="cs"/>
          <w:noProof w:val="0"/>
          <w:rtl/>
        </w:rPr>
        <w:t>הגיש האיש תביעה זו, ובה טען כי שווי העסק של האישה לא נכלל  בהסכם שנערך. האיש ביקש מבית המשפט להצהיר כי במסגרת איזון המשאבים, שווי העסק של האישה יהיה חלק ממסת הנכסים לאיזון.</w:t>
      </w:r>
    </w:p>
    <w:p w:rsidR="004D3EDE" w:rsidRDefault="004D3EDE" w:rsidP="004D3EDE">
      <w:pPr>
        <w:spacing w:line="360" w:lineRule="auto"/>
        <w:jc w:val="both"/>
        <w:rPr>
          <w:rFonts w:ascii="Arial" w:hAnsi="Arial"/>
          <w:noProof w:val="0"/>
          <w:rtl/>
        </w:rPr>
      </w:pPr>
    </w:p>
    <w:p w:rsidR="004D3EDE" w:rsidRPr="00563B3D" w:rsidRDefault="00563B3D" w:rsidP="004D3EDE">
      <w:pPr>
        <w:spacing w:line="360" w:lineRule="auto"/>
        <w:jc w:val="both"/>
        <w:rPr>
          <w:rFonts w:ascii="Arial" w:hAnsi="Arial"/>
          <w:b/>
          <w:bCs/>
          <w:noProof w:val="0"/>
          <w:u w:val="single"/>
          <w:rtl/>
        </w:rPr>
      </w:pPr>
      <w:r>
        <w:rPr>
          <w:rFonts w:ascii="Arial" w:hAnsi="Arial" w:hint="cs"/>
          <w:b/>
          <w:bCs/>
          <w:noProof w:val="0"/>
          <w:u w:val="single"/>
          <w:rtl/>
        </w:rPr>
        <w:t>טענות הצדדים</w:t>
      </w:r>
    </w:p>
    <w:p w:rsidR="00E82903" w:rsidRDefault="00E82903" w:rsidP="004D3EDE">
      <w:pPr>
        <w:spacing w:line="360" w:lineRule="auto"/>
        <w:jc w:val="both"/>
        <w:rPr>
          <w:rFonts w:ascii="Arial" w:hAnsi="Arial"/>
          <w:noProof w:val="0"/>
          <w:rtl/>
        </w:rPr>
      </w:pPr>
    </w:p>
    <w:p w:rsidR="004D3EDE" w:rsidRDefault="004D3EDE" w:rsidP="004D3EDE">
      <w:pPr>
        <w:spacing w:line="360" w:lineRule="auto"/>
        <w:jc w:val="both"/>
        <w:rPr>
          <w:rFonts w:ascii="Arial" w:hAnsi="Arial"/>
          <w:b/>
          <w:bCs/>
          <w:noProof w:val="0"/>
          <w:u w:val="single"/>
          <w:rtl/>
        </w:rPr>
      </w:pPr>
      <w:r w:rsidRPr="00563B3D">
        <w:rPr>
          <w:rFonts w:ascii="Arial" w:hAnsi="Arial" w:hint="cs"/>
          <w:b/>
          <w:bCs/>
          <w:noProof w:val="0"/>
          <w:u w:val="single"/>
          <w:rtl/>
        </w:rPr>
        <w:t>טענות המבקשת</w:t>
      </w:r>
      <w:r w:rsidR="00232EFA">
        <w:rPr>
          <w:rFonts w:ascii="Arial" w:hAnsi="Arial" w:hint="cs"/>
          <w:b/>
          <w:bCs/>
          <w:noProof w:val="0"/>
          <w:u w:val="single"/>
          <w:rtl/>
        </w:rPr>
        <w:t>:</w:t>
      </w:r>
    </w:p>
    <w:p w:rsidR="00232EFA" w:rsidRPr="00563B3D" w:rsidRDefault="00232EFA" w:rsidP="004D3EDE">
      <w:pPr>
        <w:spacing w:line="360" w:lineRule="auto"/>
        <w:jc w:val="both"/>
        <w:rPr>
          <w:rFonts w:ascii="Arial" w:hAnsi="Arial"/>
          <w:b/>
          <w:bCs/>
          <w:noProof w:val="0"/>
          <w:u w:val="single"/>
          <w:rtl/>
        </w:rPr>
      </w:pPr>
    </w:p>
    <w:p w:rsidR="004D3EDE" w:rsidRDefault="00E82903" w:rsidP="00232EFA">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ב</w:t>
      </w:r>
      <w:r w:rsidR="00660520">
        <w:rPr>
          <w:rFonts w:ascii="Arial" w:hAnsi="Arial" w:hint="cs"/>
          <w:noProof w:val="0"/>
          <w:rtl/>
        </w:rPr>
        <w:t>ת</w:t>
      </w:r>
      <w:r>
        <w:rPr>
          <w:rFonts w:ascii="Arial" w:hAnsi="Arial" w:hint="cs"/>
          <w:noProof w:val="0"/>
          <w:rtl/>
        </w:rPr>
        <w:t>ל</w:t>
      </w:r>
      <w:r w:rsidR="00563B3D">
        <w:rPr>
          <w:rFonts w:ascii="Arial" w:hAnsi="Arial" w:hint="cs"/>
          <w:noProof w:val="0"/>
          <w:rtl/>
        </w:rPr>
        <w:t>ה"מ</w:t>
      </w:r>
      <w:r>
        <w:rPr>
          <w:rFonts w:ascii="Arial" w:hAnsi="Arial" w:hint="cs"/>
          <w:noProof w:val="0"/>
          <w:rtl/>
        </w:rPr>
        <w:t xml:space="preserve"> 31312-01-24</w:t>
      </w:r>
      <w:r w:rsidR="00563B3D">
        <w:rPr>
          <w:rFonts w:ascii="Arial" w:hAnsi="Arial" w:hint="cs"/>
          <w:noProof w:val="0"/>
          <w:rtl/>
        </w:rPr>
        <w:t xml:space="preserve"> הגישה </w:t>
      </w:r>
      <w:r w:rsidR="00D8313A">
        <w:rPr>
          <w:rFonts w:ascii="Arial" w:hAnsi="Arial" w:hint="cs"/>
          <w:noProof w:val="0"/>
          <w:rtl/>
        </w:rPr>
        <w:t>ה</w:t>
      </w:r>
      <w:r w:rsidR="00563B3D">
        <w:rPr>
          <w:rFonts w:ascii="Arial" w:hAnsi="Arial" w:hint="cs"/>
          <w:noProof w:val="0"/>
          <w:rtl/>
        </w:rPr>
        <w:t>אישה תביעה רכושית ש</w:t>
      </w:r>
      <w:r>
        <w:rPr>
          <w:rFonts w:ascii="Arial" w:hAnsi="Arial" w:hint="cs"/>
          <w:noProof w:val="0"/>
          <w:rtl/>
        </w:rPr>
        <w:t xml:space="preserve">כללה את </w:t>
      </w:r>
      <w:r w:rsidR="00867144">
        <w:rPr>
          <w:rFonts w:ascii="Arial" w:hAnsi="Arial" w:hint="cs"/>
          <w:noProof w:val="0"/>
          <w:rtl/>
        </w:rPr>
        <w:t xml:space="preserve">כל </w:t>
      </w:r>
      <w:r w:rsidR="00660520">
        <w:rPr>
          <w:rFonts w:ascii="Arial" w:hAnsi="Arial" w:hint="cs"/>
          <w:noProof w:val="0"/>
          <w:rtl/>
        </w:rPr>
        <w:t xml:space="preserve">ענייני </w:t>
      </w:r>
      <w:r>
        <w:rPr>
          <w:rFonts w:ascii="Arial" w:hAnsi="Arial" w:hint="cs"/>
          <w:noProof w:val="0"/>
          <w:rtl/>
        </w:rPr>
        <w:t>הרכוש ש</w:t>
      </w:r>
      <w:r w:rsidR="00660520">
        <w:rPr>
          <w:rFonts w:ascii="Arial" w:hAnsi="Arial" w:hint="cs"/>
          <w:noProof w:val="0"/>
          <w:rtl/>
        </w:rPr>
        <w:t xml:space="preserve">ל </w:t>
      </w:r>
      <w:r w:rsidR="00867144">
        <w:rPr>
          <w:rFonts w:ascii="Arial" w:hAnsi="Arial" w:hint="cs"/>
          <w:noProof w:val="0"/>
          <w:rtl/>
        </w:rPr>
        <w:t xml:space="preserve">הצדדים, וצויין דבר קיומו של </w:t>
      </w:r>
      <w:r w:rsidR="00232EFA">
        <w:rPr>
          <w:rFonts w:ascii="Arial" w:hAnsi="Arial" w:hint="cs"/>
          <w:noProof w:val="0"/>
          <w:rtl/>
        </w:rPr>
        <w:t>ה</w:t>
      </w:r>
      <w:r w:rsidR="00867144">
        <w:rPr>
          <w:rFonts w:ascii="Arial" w:hAnsi="Arial" w:hint="cs"/>
          <w:noProof w:val="0"/>
          <w:rtl/>
        </w:rPr>
        <w:t>עסק.</w:t>
      </w:r>
    </w:p>
    <w:p w:rsidR="00E82903" w:rsidRDefault="00E82903" w:rsidP="0084570C">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בכתב ההגנה, העלה ה</w:t>
      </w:r>
      <w:r w:rsidR="0084570C">
        <w:rPr>
          <w:rFonts w:ascii="Arial" w:hAnsi="Arial" w:hint="cs"/>
          <w:noProof w:val="0"/>
          <w:rtl/>
        </w:rPr>
        <w:t>איש</w:t>
      </w:r>
      <w:r>
        <w:rPr>
          <w:rFonts w:ascii="Arial" w:hAnsi="Arial" w:hint="cs"/>
          <w:noProof w:val="0"/>
          <w:rtl/>
        </w:rPr>
        <w:t xml:space="preserve"> טענות בנושא </w:t>
      </w:r>
      <w:r w:rsidR="00915FBD">
        <w:rPr>
          <w:rFonts w:ascii="Arial" w:hAnsi="Arial" w:hint="cs"/>
          <w:noProof w:val="0"/>
          <w:rtl/>
        </w:rPr>
        <w:t>העסק.</w:t>
      </w:r>
    </w:p>
    <w:p w:rsidR="00915FBD" w:rsidRDefault="0084570C" w:rsidP="00A24264">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האיש מושתק מלטעון טענות כנגד ההסכם </w:t>
      </w:r>
      <w:r w:rsidR="00A24264">
        <w:rPr>
          <w:rFonts w:ascii="Arial" w:hAnsi="Arial" w:hint="cs"/>
          <w:noProof w:val="0"/>
          <w:rtl/>
        </w:rPr>
        <w:t>הרכושי</w:t>
      </w:r>
      <w:r w:rsidR="00915FBD">
        <w:rPr>
          <w:rFonts w:ascii="Arial" w:hAnsi="Arial" w:hint="cs"/>
          <w:noProof w:val="0"/>
          <w:rtl/>
        </w:rPr>
        <w:t>, כאשר ניתן פסק דין בנושאי הרכוש של הצדדים והוא חלוט. פסק הדין מתייחס לחשבונות העסק של האישה וצוין</w:t>
      </w:r>
      <w:r w:rsidR="002B749A">
        <w:rPr>
          <w:rFonts w:ascii="Arial" w:hAnsi="Arial" w:hint="cs"/>
          <w:noProof w:val="0"/>
          <w:rtl/>
        </w:rPr>
        <w:t xml:space="preserve"> בהסכמות</w:t>
      </w:r>
      <w:r w:rsidR="00915FBD">
        <w:rPr>
          <w:rFonts w:ascii="Arial" w:hAnsi="Arial" w:hint="cs"/>
          <w:noProof w:val="0"/>
          <w:rtl/>
        </w:rPr>
        <w:t xml:space="preserve"> כי הכספים בחשבונות יאוזנו בכפוף לחיובי מס.</w:t>
      </w:r>
    </w:p>
    <w:p w:rsidR="00915FBD" w:rsidRDefault="00915FBD" w:rsidP="00915FBD">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המשיב נוקט אלימות משפטית חריגה כנגד המבקשת.</w:t>
      </w:r>
    </w:p>
    <w:p w:rsidR="00563B3D" w:rsidRDefault="00563B3D" w:rsidP="00A24264">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lastRenderedPageBreak/>
        <w:t>מש</w:t>
      </w:r>
      <w:r w:rsidR="00E82903">
        <w:rPr>
          <w:rFonts w:ascii="Arial" w:hAnsi="Arial" w:hint="cs"/>
          <w:noProof w:val="0"/>
          <w:rtl/>
        </w:rPr>
        <w:t>ניתן פסק דין ב</w:t>
      </w:r>
      <w:r w:rsidR="00A24264">
        <w:rPr>
          <w:rFonts w:ascii="Arial" w:hAnsi="Arial" w:hint="cs"/>
          <w:noProof w:val="0"/>
          <w:rtl/>
        </w:rPr>
        <w:t>תביעה הרכושית</w:t>
      </w:r>
      <w:r>
        <w:rPr>
          <w:rFonts w:ascii="Arial" w:hAnsi="Arial" w:hint="cs"/>
          <w:noProof w:val="0"/>
          <w:rtl/>
        </w:rPr>
        <w:t>,</w:t>
      </w:r>
      <w:r w:rsidR="00660520">
        <w:rPr>
          <w:rFonts w:ascii="Arial" w:hAnsi="Arial" w:hint="cs"/>
          <w:noProof w:val="0"/>
          <w:rtl/>
        </w:rPr>
        <w:t xml:space="preserve"> בהתאם להסכמת הצדדים</w:t>
      </w:r>
      <w:r>
        <w:rPr>
          <w:rFonts w:ascii="Arial" w:hAnsi="Arial" w:hint="cs"/>
          <w:noProof w:val="0"/>
          <w:rtl/>
        </w:rPr>
        <w:t xml:space="preserve">, קיים </w:t>
      </w:r>
      <w:r w:rsidR="00660520">
        <w:rPr>
          <w:rFonts w:ascii="Arial" w:hAnsi="Arial" w:hint="cs"/>
          <w:noProof w:val="0"/>
          <w:rtl/>
        </w:rPr>
        <w:t xml:space="preserve">מעשה בי דין בכל הסוגיות הנוגעות לרכוש. </w:t>
      </w:r>
    </w:p>
    <w:p w:rsidR="008838D4" w:rsidRDefault="008838D4" w:rsidP="008838D4">
      <w:pPr>
        <w:spacing w:line="360" w:lineRule="auto"/>
        <w:ind w:left="360"/>
        <w:jc w:val="both"/>
        <w:rPr>
          <w:rFonts w:ascii="Arial" w:hAnsi="Arial"/>
          <w:noProof w:val="0"/>
          <w:rtl/>
        </w:rPr>
      </w:pPr>
    </w:p>
    <w:p w:rsidR="008838D4" w:rsidRDefault="00563B3D" w:rsidP="008838D4">
      <w:pPr>
        <w:spacing w:line="360" w:lineRule="auto"/>
        <w:ind w:left="360"/>
        <w:jc w:val="both"/>
        <w:rPr>
          <w:rFonts w:ascii="Arial" w:hAnsi="Arial"/>
          <w:b/>
          <w:bCs/>
          <w:noProof w:val="0"/>
          <w:u w:val="single"/>
          <w:rtl/>
        </w:rPr>
      </w:pPr>
      <w:r>
        <w:rPr>
          <w:rFonts w:ascii="Arial" w:hAnsi="Arial" w:hint="cs"/>
          <w:b/>
          <w:bCs/>
          <w:noProof w:val="0"/>
          <w:u w:val="single"/>
          <w:rtl/>
        </w:rPr>
        <w:t>טענות המשיב</w:t>
      </w:r>
      <w:r w:rsidR="005D2275">
        <w:rPr>
          <w:rFonts w:ascii="Arial" w:hAnsi="Arial" w:hint="cs"/>
          <w:b/>
          <w:bCs/>
          <w:noProof w:val="0"/>
          <w:u w:val="single"/>
          <w:rtl/>
        </w:rPr>
        <w:t>:</w:t>
      </w:r>
    </w:p>
    <w:p w:rsidR="005D2275" w:rsidRPr="00563B3D" w:rsidRDefault="005D2275" w:rsidP="008838D4">
      <w:pPr>
        <w:spacing w:line="360" w:lineRule="auto"/>
        <w:ind w:left="360"/>
        <w:jc w:val="both"/>
        <w:rPr>
          <w:rFonts w:ascii="Arial" w:hAnsi="Arial"/>
          <w:b/>
          <w:bCs/>
          <w:noProof w:val="0"/>
          <w:u w:val="single"/>
          <w:rtl/>
        </w:rPr>
      </w:pPr>
    </w:p>
    <w:p w:rsidR="008838D4" w:rsidRDefault="008838D4" w:rsidP="007B0FE2">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על הצדדים חל חוק יחסי ממון, העסק נוצר תוך כדי הנישואין ובתוך כך יש לאזן שוויו.</w:t>
      </w:r>
    </w:p>
    <w:p w:rsidR="008838D4" w:rsidRDefault="008838D4" w:rsidP="007B0FE2">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אין </w:t>
      </w:r>
      <w:r w:rsidR="006135A0">
        <w:rPr>
          <w:rFonts w:ascii="Arial" w:hAnsi="Arial" w:hint="cs"/>
          <w:noProof w:val="0"/>
          <w:rtl/>
        </w:rPr>
        <w:t xml:space="preserve">בהסכמות הצדדים שאושרו בתביעה הרכושית, </w:t>
      </w:r>
      <w:r>
        <w:rPr>
          <w:rFonts w:ascii="Arial" w:hAnsi="Arial" w:hint="cs"/>
          <w:noProof w:val="0"/>
          <w:rtl/>
        </w:rPr>
        <w:t xml:space="preserve">סעיף </w:t>
      </w:r>
      <w:r w:rsidR="006135A0">
        <w:rPr>
          <w:rFonts w:ascii="Arial" w:hAnsi="Arial" w:hint="cs"/>
          <w:noProof w:val="0"/>
          <w:rtl/>
        </w:rPr>
        <w:t xml:space="preserve">בדבר </w:t>
      </w:r>
      <w:r>
        <w:rPr>
          <w:rFonts w:ascii="Arial" w:hAnsi="Arial" w:hint="cs"/>
          <w:noProof w:val="0"/>
          <w:rtl/>
        </w:rPr>
        <w:t>העדר תביעות</w:t>
      </w:r>
      <w:r w:rsidR="006135A0">
        <w:rPr>
          <w:rFonts w:ascii="Arial" w:hAnsi="Arial" w:hint="cs"/>
          <w:noProof w:val="0"/>
          <w:rtl/>
        </w:rPr>
        <w:t xml:space="preserve"> נוספות, אין ויתור מפורש על שווי העסק של האישה, לא ניתן לראות מהפרוטוקול שהתקיים דיון בעניין שווי העסק (דיון נערך מחוץ לפרוטוקול), אין הכרעה בעניין שווי העסק.</w:t>
      </w:r>
    </w:p>
    <w:p w:rsidR="008838D4" w:rsidRDefault="00717232" w:rsidP="007B0FE2">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האישה היא התובעת בתביעה הרכושית המגדירה את "חזית המריבה". האישה לא הכלילה את שווי העסק בתביעה שהגישה.</w:t>
      </w:r>
    </w:p>
    <w:p w:rsidR="00717232" w:rsidRDefault="00717232" w:rsidP="000B0702">
      <w:pPr>
        <w:spacing w:line="360" w:lineRule="auto"/>
        <w:jc w:val="both"/>
        <w:rPr>
          <w:rFonts w:ascii="Arial" w:hAnsi="Arial"/>
          <w:b/>
          <w:bCs/>
          <w:noProof w:val="0"/>
          <w:u w:val="single"/>
          <w:rtl/>
        </w:rPr>
      </w:pPr>
    </w:p>
    <w:p w:rsidR="000B0702" w:rsidRDefault="00563B3D" w:rsidP="000B0702">
      <w:pPr>
        <w:spacing w:line="360" w:lineRule="auto"/>
        <w:jc w:val="both"/>
        <w:rPr>
          <w:rFonts w:ascii="Arial" w:hAnsi="Arial"/>
          <w:b/>
          <w:bCs/>
          <w:noProof w:val="0"/>
          <w:u w:val="single"/>
          <w:rtl/>
        </w:rPr>
      </w:pPr>
      <w:r>
        <w:rPr>
          <w:rFonts w:ascii="Arial" w:hAnsi="Arial" w:hint="cs"/>
          <w:b/>
          <w:bCs/>
          <w:noProof w:val="0"/>
          <w:u w:val="single"/>
          <w:rtl/>
        </w:rPr>
        <w:t>דיון והכרעה</w:t>
      </w:r>
      <w:r w:rsidR="00717232">
        <w:rPr>
          <w:rFonts w:ascii="Arial" w:hAnsi="Arial" w:hint="cs"/>
          <w:b/>
          <w:bCs/>
          <w:noProof w:val="0"/>
          <w:u w:val="single"/>
          <w:rtl/>
        </w:rPr>
        <w:t>:</w:t>
      </w:r>
    </w:p>
    <w:p w:rsidR="00717232" w:rsidRPr="00563B3D" w:rsidRDefault="00717232" w:rsidP="000B0702">
      <w:pPr>
        <w:spacing w:line="360" w:lineRule="auto"/>
        <w:jc w:val="both"/>
        <w:rPr>
          <w:rFonts w:ascii="Arial" w:hAnsi="Arial"/>
          <w:b/>
          <w:bCs/>
          <w:noProof w:val="0"/>
          <w:u w:val="single"/>
          <w:rtl/>
        </w:rPr>
      </w:pPr>
    </w:p>
    <w:p w:rsidR="000B0702" w:rsidRDefault="000B0702" w:rsidP="00717232">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תקנה 15 (א) (1)  </w:t>
      </w:r>
      <w:r w:rsidR="00717232">
        <w:rPr>
          <w:rFonts w:ascii="Arial" w:hAnsi="Arial" w:hint="cs"/>
          <w:noProof w:val="0"/>
          <w:rtl/>
        </w:rPr>
        <w:t>לתקנות בית המשפט לענייני משפחה קובעת:</w:t>
      </w:r>
      <w:r>
        <w:rPr>
          <w:rFonts w:ascii="Arial" w:hAnsi="Arial" w:hint="cs"/>
          <w:noProof w:val="0"/>
          <w:rtl/>
        </w:rPr>
        <w:t xml:space="preserve"> </w:t>
      </w:r>
    </w:p>
    <w:p w:rsidR="00717232" w:rsidRDefault="000B0702" w:rsidP="00717232">
      <w:pPr>
        <w:pStyle w:val="ad"/>
        <w:spacing w:after="160" w:line="360" w:lineRule="auto"/>
        <w:ind w:left="714"/>
        <w:contextualSpacing w:val="0"/>
        <w:jc w:val="both"/>
        <w:rPr>
          <w:rFonts w:ascii="David" w:hAnsi="David"/>
          <w:b/>
          <w:bCs/>
          <w:i/>
          <w:iCs/>
          <w:noProof w:val="0"/>
          <w:rtl/>
        </w:rPr>
      </w:pPr>
      <w:r w:rsidRPr="00717232">
        <w:rPr>
          <w:rFonts w:ascii="David" w:hAnsi="David"/>
          <w:b/>
          <w:bCs/>
          <w:i/>
          <w:iCs/>
          <w:noProof w:val="0"/>
          <w:rtl/>
        </w:rPr>
        <w:t>"</w:t>
      </w:r>
      <w:r w:rsidR="00717232">
        <w:rPr>
          <w:rFonts w:ascii="David" w:hAnsi="David" w:hint="cs"/>
          <w:b/>
          <w:bCs/>
          <w:i/>
          <w:iCs/>
          <w:noProof w:val="0"/>
          <w:rtl/>
        </w:rPr>
        <w:t>(א) תובענה בשל כל אחד מהעניינים המפורטים להלן תוגש בתביעה נפרדת, יהיה מספר הסעדים באותו עניין אשר יהיה:</w:t>
      </w:r>
    </w:p>
    <w:p w:rsidR="000B0702" w:rsidRPr="00717232" w:rsidRDefault="000B0702" w:rsidP="007B0FE2">
      <w:pPr>
        <w:pStyle w:val="ad"/>
        <w:spacing w:after="160" w:line="360" w:lineRule="auto"/>
        <w:ind w:left="714"/>
        <w:contextualSpacing w:val="0"/>
        <w:jc w:val="both"/>
        <w:rPr>
          <w:rFonts w:ascii="David" w:hAnsi="David"/>
          <w:b/>
          <w:bCs/>
          <w:i/>
          <w:iCs/>
          <w:noProof w:val="0"/>
          <w:rtl/>
        </w:rPr>
      </w:pPr>
      <w:r w:rsidRPr="00717232">
        <w:rPr>
          <w:rFonts w:ascii="David" w:hAnsi="David"/>
          <w:b/>
          <w:bCs/>
          <w:i/>
          <w:iCs/>
          <w:noProof w:val="0"/>
          <w:rtl/>
        </w:rPr>
        <w:t xml:space="preserve"> </w:t>
      </w:r>
      <w:r w:rsidRPr="00717232">
        <w:rPr>
          <w:rFonts w:ascii="David" w:hAnsi="David"/>
          <w:b/>
          <w:bCs/>
          <w:i/>
          <w:iCs/>
          <w:color w:val="000000"/>
          <w:shd w:val="clear" w:color="auto" w:fill="FFFFFF"/>
          <w:rtl/>
        </w:rPr>
        <w:t xml:space="preserve">תובענה כספית או רכושית, לרבות סעד הצהרתי, פירוק שיתוף בנכס וסעד לפי חוק יחסי ממון בין בני זוג, התשל"ג-1973; התובע יאחד בתובענה זו את כל עילות התביעה והסעדים כלפי אותו נתבע </w:t>
      </w:r>
      <w:r w:rsidRPr="00717232">
        <w:rPr>
          <w:rFonts w:ascii="Arial" w:hAnsi="Arial"/>
          <w:b/>
          <w:bCs/>
          <w:noProof w:val="0"/>
          <w:rtl/>
        </w:rPr>
        <w:t>בשל</w:t>
      </w:r>
      <w:r w:rsidRPr="00717232">
        <w:rPr>
          <w:rFonts w:ascii="David" w:hAnsi="David"/>
          <w:b/>
          <w:bCs/>
          <w:i/>
          <w:iCs/>
          <w:color w:val="000000"/>
          <w:shd w:val="clear" w:color="auto" w:fill="FFFFFF"/>
          <w:rtl/>
        </w:rPr>
        <w:t xml:space="preserve"> אותה מסכת עובדתית</w:t>
      </w:r>
      <w:r w:rsidRPr="00717232">
        <w:rPr>
          <w:rFonts w:ascii="David" w:hAnsi="David"/>
          <w:b/>
          <w:bCs/>
          <w:i/>
          <w:iCs/>
          <w:noProof w:val="0"/>
          <w:rtl/>
        </w:rPr>
        <w:t>"</w:t>
      </w:r>
      <w:r w:rsidR="00EB03E0">
        <w:rPr>
          <w:rFonts w:ascii="David" w:hAnsi="David" w:hint="cs"/>
          <w:b/>
          <w:bCs/>
          <w:i/>
          <w:iCs/>
          <w:noProof w:val="0"/>
          <w:rtl/>
        </w:rPr>
        <w:t>.</w:t>
      </w:r>
    </w:p>
    <w:p w:rsidR="000B0702" w:rsidRDefault="00EB03E0" w:rsidP="00A24264">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לא יכול להיות חולק כי סוגיית העסק של האישה היה חלק מהתביעה הרכושית ובמסגרתה הגיעו הצדדים להבנות</w:t>
      </w:r>
      <w:r w:rsidR="00A577F3">
        <w:rPr>
          <w:rFonts w:ascii="Arial" w:hAnsi="Arial" w:hint="cs"/>
          <w:noProof w:val="0"/>
          <w:rtl/>
        </w:rPr>
        <w:t xml:space="preserve"> שקיבלו תוקף של פסק דין</w:t>
      </w:r>
      <w:r>
        <w:rPr>
          <w:rFonts w:ascii="Arial" w:hAnsi="Arial" w:hint="cs"/>
          <w:noProof w:val="0"/>
          <w:rtl/>
        </w:rPr>
        <w:t>. האישה כאמור מעלה, ציינה דבר קיומו של העסק בכתב התביעה והאיש טען בכתב ההגנה כי יש לבחון את שווי העסק/מוניטין של האישה ועתר למינוי רו"ח לשם כך.</w:t>
      </w:r>
    </w:p>
    <w:p w:rsidR="00A577F3" w:rsidRDefault="00A577F3" w:rsidP="00D93DD8">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איחוד מכלול העילות הרכושיות לתביעה אחת, עולה בקנה אחד עם הוראות תקנה 15 (א) (1) והצדדים אכן איחדו את טענותיהם הרכושיות לתביעה אחת.</w:t>
      </w:r>
      <w:r w:rsidR="004910C1">
        <w:rPr>
          <w:rFonts w:ascii="Arial" w:hAnsi="Arial" w:hint="cs"/>
          <w:noProof w:val="0"/>
          <w:rtl/>
        </w:rPr>
        <w:t xml:space="preserve"> התכלית העומדת בבסיס התקנה, היא הכרעה באופן איזון הרכוש במקשה אחת, ולא טיפין טיפין, במספר תביעות </w:t>
      </w:r>
      <w:r w:rsidR="004910C1">
        <w:rPr>
          <w:rFonts w:ascii="Arial" w:hAnsi="Arial" w:hint="cs"/>
          <w:noProof w:val="0"/>
          <w:rtl/>
        </w:rPr>
        <w:lastRenderedPageBreak/>
        <w:t>המוגשות בזמנים שונים, ובאופן שאינו מאפשר לבעל הדין לסיים את הסכסוך הרכושי ולכלכל צעדיו תוך ידיעה באשר להיקף הזכויות שברשותו.</w:t>
      </w:r>
    </w:p>
    <w:p w:rsidR="00EB03E0" w:rsidRDefault="00EB03E0" w:rsidP="00A24264">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אין בכך שהדרישה לאיזון מוניטין/שווי עסק, הופיעה בכתב ההגנה </w:t>
      </w:r>
      <w:r w:rsidR="00CA4EAA">
        <w:rPr>
          <w:rFonts w:ascii="Arial" w:hAnsi="Arial" w:hint="cs"/>
          <w:noProof w:val="0"/>
          <w:rtl/>
        </w:rPr>
        <w:t>ולא בכתב התביעה</w:t>
      </w:r>
      <w:r>
        <w:rPr>
          <w:rFonts w:ascii="Arial" w:hAnsi="Arial" w:hint="cs"/>
          <w:noProof w:val="0"/>
          <w:rtl/>
        </w:rPr>
        <w:t>, בכדי ל</w:t>
      </w:r>
      <w:r w:rsidR="00A24264">
        <w:rPr>
          <w:rFonts w:ascii="Arial" w:hAnsi="Arial" w:hint="cs"/>
          <w:noProof w:val="0"/>
          <w:rtl/>
        </w:rPr>
        <w:t xml:space="preserve">הביא למסקנה </w:t>
      </w:r>
      <w:r>
        <w:rPr>
          <w:rFonts w:ascii="Arial" w:hAnsi="Arial" w:hint="cs"/>
          <w:noProof w:val="0"/>
          <w:rtl/>
        </w:rPr>
        <w:t>שלא היתה חלק מהמחלוקת בהליך הקודם.</w:t>
      </w:r>
    </w:p>
    <w:p w:rsidR="00A14F2B" w:rsidRPr="00A24264" w:rsidRDefault="004910C1" w:rsidP="00CA4EAA">
      <w:pPr>
        <w:pStyle w:val="ad"/>
        <w:spacing w:line="360" w:lineRule="auto"/>
        <w:jc w:val="both"/>
        <w:rPr>
          <w:rFonts w:ascii="Arial" w:hAnsi="Arial"/>
          <w:noProof w:val="0"/>
          <w:rtl/>
        </w:rPr>
      </w:pPr>
      <w:r>
        <w:rPr>
          <w:rFonts w:ascii="Arial" w:hAnsi="Arial" w:hint="cs"/>
          <w:noProof w:val="0"/>
          <w:rtl/>
        </w:rPr>
        <w:t>כבר נפסק כי די בכך שהדרישה לאיזון נכסים נוספים הופיעה בכתב ההגנה, בכדי לכלול הטענות כחלק מה</w:t>
      </w:r>
      <w:r w:rsidR="00CA4EAA">
        <w:rPr>
          <w:rFonts w:ascii="Arial" w:hAnsi="Arial" w:hint="cs"/>
          <w:noProof w:val="0"/>
          <w:rtl/>
        </w:rPr>
        <w:t>עתירות ה</w:t>
      </w:r>
      <w:r>
        <w:rPr>
          <w:rFonts w:ascii="Arial" w:hAnsi="Arial" w:hint="cs"/>
          <w:noProof w:val="0"/>
          <w:rtl/>
        </w:rPr>
        <w:t>עומד</w:t>
      </w:r>
      <w:r w:rsidR="00CA4EAA">
        <w:rPr>
          <w:rFonts w:ascii="Arial" w:hAnsi="Arial" w:hint="cs"/>
          <w:noProof w:val="0"/>
          <w:rtl/>
        </w:rPr>
        <w:t>ות</w:t>
      </w:r>
      <w:r>
        <w:rPr>
          <w:rFonts w:ascii="Arial" w:hAnsi="Arial" w:hint="cs"/>
          <w:noProof w:val="0"/>
          <w:rtl/>
        </w:rPr>
        <w:t xml:space="preserve"> בפני בית המשפט.</w:t>
      </w:r>
      <w:r w:rsidR="005C5ECA">
        <w:rPr>
          <w:rFonts w:ascii="Arial" w:hAnsi="Arial" w:hint="cs"/>
          <w:noProof w:val="0"/>
          <w:rtl/>
        </w:rPr>
        <w:t xml:space="preserve"> ראה בתלה"מ (נצ') 36626-10-21, </w:t>
      </w:r>
      <w:r w:rsidR="005C5ECA" w:rsidRPr="00A24264">
        <w:rPr>
          <w:rFonts w:ascii="Arial" w:hAnsi="Arial" w:hint="cs"/>
          <w:noProof w:val="0"/>
          <w:u w:val="single"/>
          <w:rtl/>
        </w:rPr>
        <w:t>ש.כ נגד ש.כ,</w:t>
      </w:r>
      <w:r w:rsidR="005C5ECA" w:rsidRPr="00A24264">
        <w:rPr>
          <w:rFonts w:ascii="Arial" w:hAnsi="Arial" w:hint="cs"/>
          <w:noProof w:val="0"/>
          <w:rtl/>
        </w:rPr>
        <w:t xml:space="preserve"> פורסם בנבו, סעיף 9.10 לפסה"ד:</w:t>
      </w:r>
    </w:p>
    <w:p w:rsidR="005C5ECA" w:rsidRDefault="005C5ECA" w:rsidP="004910C1">
      <w:pPr>
        <w:pStyle w:val="ad"/>
        <w:spacing w:line="360" w:lineRule="auto"/>
        <w:jc w:val="both"/>
        <w:rPr>
          <w:rFonts w:ascii="Arial" w:hAnsi="Arial"/>
          <w:noProof w:val="0"/>
          <w:rtl/>
        </w:rPr>
      </w:pPr>
    </w:p>
    <w:p w:rsidR="005C5ECA" w:rsidRPr="005C5ECA" w:rsidRDefault="005C5ECA" w:rsidP="007B0BE3">
      <w:pPr>
        <w:pStyle w:val="ad"/>
        <w:spacing w:line="360" w:lineRule="auto"/>
        <w:jc w:val="both"/>
        <w:rPr>
          <w:rFonts w:ascii="Arial" w:hAnsi="Arial"/>
          <w:b/>
          <w:bCs/>
          <w:noProof w:val="0"/>
          <w:rtl/>
        </w:rPr>
      </w:pPr>
      <w:r w:rsidRPr="005C5ECA">
        <w:rPr>
          <w:rFonts w:ascii="Arial" w:hAnsi="Arial" w:hint="cs"/>
          <w:b/>
          <w:bCs/>
          <w:noProof w:val="0"/>
          <w:rtl/>
        </w:rPr>
        <w:t>"</w:t>
      </w:r>
      <w:r w:rsidR="007B0BE3">
        <w:rPr>
          <w:rFonts w:ascii="Arial" w:hAnsi="Arial" w:hint="cs"/>
          <w:b/>
          <w:bCs/>
          <w:noProof w:val="0"/>
          <w:rtl/>
        </w:rPr>
        <w:t>..</w:t>
      </w:r>
      <w:r w:rsidRPr="005C5ECA">
        <w:rPr>
          <w:rFonts w:ascii="Arial" w:hAnsi="Arial" w:hint="cs"/>
          <w:b/>
          <w:bCs/>
          <w:noProof w:val="0"/>
          <w:rtl/>
        </w:rPr>
        <w:t>. די לבעל דין שכנגד שיעתור לאיזון כלל המשאבים בכתב ההגנה."</w:t>
      </w:r>
    </w:p>
    <w:p w:rsidR="00E3694F" w:rsidRPr="00582350" w:rsidRDefault="00E3694F" w:rsidP="004910C1">
      <w:pPr>
        <w:pStyle w:val="ad"/>
        <w:spacing w:line="360" w:lineRule="auto"/>
        <w:jc w:val="both"/>
        <w:rPr>
          <w:rFonts w:ascii="Arial" w:hAnsi="Arial"/>
          <w:noProof w:val="0"/>
          <w:rtl/>
        </w:rPr>
      </w:pPr>
    </w:p>
    <w:p w:rsidR="00C7476C" w:rsidRDefault="00C7476C" w:rsidP="00A24264">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טענות התובע בהליך שבפני הנוגעות לשווי </w:t>
      </w:r>
      <w:r w:rsidR="007B0BE3">
        <w:rPr>
          <w:rFonts w:ascii="Arial" w:hAnsi="Arial" w:hint="cs"/>
          <w:noProof w:val="0"/>
          <w:rtl/>
        </w:rPr>
        <w:t>ה</w:t>
      </w:r>
      <w:r>
        <w:rPr>
          <w:rFonts w:ascii="Arial" w:hAnsi="Arial" w:hint="cs"/>
          <w:noProof w:val="0"/>
          <w:rtl/>
        </w:rPr>
        <w:t>עסק הועלו במסגרת טענותיו בכתב ההגנה שהג</w:t>
      </w:r>
      <w:r w:rsidR="00A14F2B">
        <w:rPr>
          <w:rFonts w:ascii="Arial" w:hAnsi="Arial" w:hint="cs"/>
          <w:noProof w:val="0"/>
          <w:rtl/>
        </w:rPr>
        <w:t>י</w:t>
      </w:r>
      <w:r w:rsidR="00A24264">
        <w:rPr>
          <w:rFonts w:ascii="Arial" w:hAnsi="Arial" w:hint="cs"/>
          <w:noProof w:val="0"/>
          <w:rtl/>
        </w:rPr>
        <w:t>ש בתביעה הרכושית</w:t>
      </w:r>
      <w:r>
        <w:rPr>
          <w:rFonts w:ascii="Arial" w:hAnsi="Arial" w:hint="cs"/>
          <w:noProof w:val="0"/>
          <w:rtl/>
        </w:rPr>
        <w:t xml:space="preserve">. </w:t>
      </w:r>
      <w:r w:rsidR="004910C1">
        <w:rPr>
          <w:rFonts w:ascii="Arial" w:hAnsi="Arial" w:hint="cs"/>
          <w:noProof w:val="0"/>
          <w:rtl/>
        </w:rPr>
        <w:t>מכאן ברור שאלו עמדו בפני בית המשפט, הצדדים ובאי כח, במהלך הדיון במסגרתו הגיעו לה</w:t>
      </w:r>
      <w:r w:rsidR="00A24264">
        <w:rPr>
          <w:rFonts w:ascii="Arial" w:hAnsi="Arial" w:hint="cs"/>
          <w:noProof w:val="0"/>
          <w:rtl/>
        </w:rPr>
        <w:t xml:space="preserve">סכם לו ניתן תוקף של </w:t>
      </w:r>
      <w:r w:rsidR="004910C1">
        <w:rPr>
          <w:rFonts w:ascii="Arial" w:hAnsi="Arial" w:hint="cs"/>
          <w:noProof w:val="0"/>
          <w:rtl/>
        </w:rPr>
        <w:t>פסק דין.</w:t>
      </w:r>
    </w:p>
    <w:p w:rsidR="004910C1" w:rsidRDefault="004910C1" w:rsidP="00154455">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ודוק </w:t>
      </w:r>
      <w:r>
        <w:rPr>
          <w:rFonts w:ascii="Arial" w:hAnsi="Arial"/>
          <w:noProof w:val="0"/>
          <w:rtl/>
        </w:rPr>
        <w:t>–</w:t>
      </w:r>
      <w:r>
        <w:rPr>
          <w:rFonts w:ascii="Arial" w:hAnsi="Arial" w:hint="cs"/>
          <w:noProof w:val="0"/>
          <w:rtl/>
        </w:rPr>
        <w:t xml:space="preserve"> אין חולק כי העסק לא נ</w:t>
      </w:r>
      <w:r w:rsidR="00CC4DB9">
        <w:rPr>
          <w:rFonts w:ascii="Arial" w:hAnsi="Arial" w:hint="cs"/>
          <w:noProof w:val="0"/>
          <w:rtl/>
        </w:rPr>
        <w:t>שמט מז</w:t>
      </w:r>
      <w:r w:rsidR="007B0BE3">
        <w:rPr>
          <w:rFonts w:ascii="Arial" w:hAnsi="Arial" w:hint="cs"/>
          <w:noProof w:val="0"/>
          <w:rtl/>
        </w:rPr>
        <w:t>י</w:t>
      </w:r>
      <w:r w:rsidR="00CC4DB9">
        <w:rPr>
          <w:rFonts w:ascii="Arial" w:hAnsi="Arial" w:hint="cs"/>
          <w:noProof w:val="0"/>
          <w:rtl/>
        </w:rPr>
        <w:t>כרונם של הצדדים, והדבר עולה ברורות מהוראות ההסכם כי יש לבחון גם את הכספים המצויים בחשבונות העסק ולאזנם בכפוף לתשלומי מס.</w:t>
      </w:r>
    </w:p>
    <w:p w:rsidR="00CC4DB9" w:rsidRDefault="00CC4DB9" w:rsidP="00CC4DB9">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חזקה שהסכמות הצדדים שהוכתבו לפרוט</w:t>
      </w:r>
      <w:r w:rsidR="007B0BE3">
        <w:rPr>
          <w:rFonts w:ascii="Arial" w:hAnsi="Arial" w:hint="cs"/>
          <w:noProof w:val="0"/>
          <w:rtl/>
        </w:rPr>
        <w:t>ו</w:t>
      </w:r>
      <w:r>
        <w:rPr>
          <w:rFonts w:ascii="Arial" w:hAnsi="Arial" w:hint="cs"/>
          <w:noProof w:val="0"/>
          <w:rtl/>
        </w:rPr>
        <w:t>קול</w:t>
      </w:r>
      <w:r w:rsidR="007B0BE3">
        <w:rPr>
          <w:rFonts w:ascii="Arial" w:hAnsi="Arial" w:hint="cs"/>
          <w:noProof w:val="0"/>
          <w:rtl/>
        </w:rPr>
        <w:t xml:space="preserve"> ואושרו בפסק דין</w:t>
      </w:r>
      <w:r>
        <w:rPr>
          <w:rFonts w:ascii="Arial" w:hAnsi="Arial" w:hint="cs"/>
          <w:noProof w:val="0"/>
          <w:rtl/>
        </w:rPr>
        <w:t xml:space="preserve">, מסיימות את </w:t>
      </w:r>
      <w:r w:rsidR="007B0BE3">
        <w:rPr>
          <w:rFonts w:ascii="Arial" w:hAnsi="Arial" w:hint="cs"/>
          <w:noProof w:val="0"/>
          <w:rtl/>
        </w:rPr>
        <w:t xml:space="preserve">בירור </w:t>
      </w:r>
      <w:r>
        <w:rPr>
          <w:rFonts w:ascii="Arial" w:hAnsi="Arial" w:hint="cs"/>
          <w:noProof w:val="0"/>
          <w:rtl/>
        </w:rPr>
        <w:t>כל הטענות שהופיעו בכתבי הטענות</w:t>
      </w:r>
      <w:r w:rsidR="00A24264">
        <w:rPr>
          <w:rFonts w:ascii="Arial" w:hAnsi="Arial" w:hint="cs"/>
          <w:noProof w:val="0"/>
          <w:rtl/>
        </w:rPr>
        <w:t xml:space="preserve"> באותו ההליך</w:t>
      </w:r>
      <w:r>
        <w:rPr>
          <w:rFonts w:ascii="Arial" w:hAnsi="Arial" w:hint="cs"/>
          <w:noProof w:val="0"/>
          <w:rtl/>
        </w:rPr>
        <w:t xml:space="preserve">. אין בכך שדרישה זו או אחרת של בעל דין </w:t>
      </w:r>
      <w:r w:rsidR="007B0BE3">
        <w:rPr>
          <w:rFonts w:ascii="Arial" w:hAnsi="Arial" w:hint="cs"/>
          <w:noProof w:val="0"/>
          <w:rtl/>
        </w:rPr>
        <w:t xml:space="preserve">שהופיעה בכתב טענותיו </w:t>
      </w:r>
      <w:r>
        <w:rPr>
          <w:rFonts w:ascii="Arial" w:hAnsi="Arial" w:hint="cs"/>
          <w:noProof w:val="0"/>
          <w:rtl/>
        </w:rPr>
        <w:t>לא מצאה דרכה להסכמות הסופיות, בכדי לקבוע שניתן באותו העניין לפתוח הליך משפטי חדש.</w:t>
      </w:r>
    </w:p>
    <w:p w:rsidR="00CC4DB9" w:rsidRDefault="007B0BE3" w:rsidP="00D93DD8">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ה</w:t>
      </w:r>
      <w:r w:rsidR="00CC4DB9">
        <w:rPr>
          <w:rFonts w:ascii="Arial" w:hAnsi="Arial" w:hint="cs"/>
          <w:noProof w:val="0"/>
          <w:rtl/>
        </w:rPr>
        <w:t xml:space="preserve">כלל </w:t>
      </w:r>
      <w:r>
        <w:rPr>
          <w:rFonts w:ascii="Arial" w:hAnsi="Arial" w:hint="cs"/>
          <w:noProof w:val="0"/>
          <w:rtl/>
        </w:rPr>
        <w:t xml:space="preserve">בדבר </w:t>
      </w:r>
      <w:r w:rsidR="00CC4DB9">
        <w:rPr>
          <w:rFonts w:ascii="Arial" w:hAnsi="Arial" w:hint="cs"/>
          <w:noProof w:val="0"/>
          <w:rtl/>
        </w:rPr>
        <w:t xml:space="preserve">מעשה בי דין, חל על כל הנושאים שהועלו בפני בית המשפט במסגרת ההליך המשפטי הקודם, בין אם דרישתו של בעל דין </w:t>
      </w:r>
      <w:r>
        <w:rPr>
          <w:rFonts w:ascii="Arial" w:hAnsi="Arial" w:hint="cs"/>
          <w:noProof w:val="0"/>
          <w:rtl/>
        </w:rPr>
        <w:t xml:space="preserve">לסעד </w:t>
      </w:r>
      <w:r w:rsidR="00CC4DB9">
        <w:rPr>
          <w:rFonts w:ascii="Arial" w:hAnsi="Arial" w:hint="cs"/>
          <w:noProof w:val="0"/>
          <w:rtl/>
        </w:rPr>
        <w:t xml:space="preserve">התקבלה, ובין אם לא </w:t>
      </w:r>
      <w:r>
        <w:rPr>
          <w:rFonts w:ascii="Arial" w:hAnsi="Arial" w:hint="cs"/>
          <w:noProof w:val="0"/>
          <w:rtl/>
        </w:rPr>
        <w:t>נכלל מתן הסעד לו עתר ב</w:t>
      </w:r>
      <w:r w:rsidR="00CC4DB9">
        <w:rPr>
          <w:rFonts w:ascii="Arial" w:hAnsi="Arial" w:hint="cs"/>
          <w:noProof w:val="0"/>
          <w:rtl/>
        </w:rPr>
        <w:t xml:space="preserve">הסכמות </w:t>
      </w:r>
      <w:r w:rsidR="001E090A">
        <w:rPr>
          <w:rFonts w:ascii="Arial" w:hAnsi="Arial" w:hint="cs"/>
          <w:noProof w:val="0"/>
          <w:rtl/>
        </w:rPr>
        <w:t xml:space="preserve">בין </w:t>
      </w:r>
      <w:r w:rsidR="00CC4DB9">
        <w:rPr>
          <w:rFonts w:ascii="Arial" w:hAnsi="Arial" w:hint="cs"/>
          <w:noProof w:val="0"/>
          <w:rtl/>
        </w:rPr>
        <w:t xml:space="preserve">הצדדים. כך או אחרת, </w:t>
      </w:r>
      <w:r w:rsidR="00CC4DB9" w:rsidRPr="00CC4DB9">
        <w:rPr>
          <w:rFonts w:ascii="Arial" w:hAnsi="Arial" w:hint="cs"/>
          <w:noProof w:val="0"/>
          <w:u w:val="single"/>
          <w:rtl/>
        </w:rPr>
        <w:t xml:space="preserve">חזקה שההסכמות ופסק הדין שאישר אותן, מסלקים את כל הטענות </w:t>
      </w:r>
      <w:r w:rsidR="001E090A">
        <w:rPr>
          <w:rFonts w:ascii="Arial" w:hAnsi="Arial" w:hint="cs"/>
          <w:noProof w:val="0"/>
          <w:u w:val="single"/>
          <w:rtl/>
        </w:rPr>
        <w:t xml:space="preserve">ההדדיות </w:t>
      </w:r>
      <w:r w:rsidR="00CC4DB9" w:rsidRPr="00CC4DB9">
        <w:rPr>
          <w:rFonts w:ascii="Arial" w:hAnsi="Arial" w:hint="cs"/>
          <w:noProof w:val="0"/>
          <w:u w:val="single"/>
          <w:rtl/>
        </w:rPr>
        <w:t>שעלו במסגרת אות</w:t>
      </w:r>
      <w:r w:rsidR="00D93DD8">
        <w:rPr>
          <w:rFonts w:ascii="Arial" w:hAnsi="Arial" w:hint="cs"/>
          <w:noProof w:val="0"/>
          <w:u w:val="single"/>
          <w:rtl/>
        </w:rPr>
        <w:t>ו</w:t>
      </w:r>
      <w:r w:rsidR="00CC4DB9" w:rsidRPr="00CC4DB9">
        <w:rPr>
          <w:rFonts w:ascii="Arial" w:hAnsi="Arial" w:hint="cs"/>
          <w:noProof w:val="0"/>
          <w:u w:val="single"/>
          <w:rtl/>
        </w:rPr>
        <w:t xml:space="preserve"> ה</w:t>
      </w:r>
      <w:r w:rsidR="00D93DD8">
        <w:rPr>
          <w:rFonts w:ascii="Arial" w:hAnsi="Arial" w:hint="cs"/>
          <w:noProof w:val="0"/>
          <w:u w:val="single"/>
          <w:rtl/>
        </w:rPr>
        <w:t>ה</w:t>
      </w:r>
      <w:r w:rsidR="00CC4DB9" w:rsidRPr="00CC4DB9">
        <w:rPr>
          <w:rFonts w:ascii="Arial" w:hAnsi="Arial" w:hint="cs"/>
          <w:noProof w:val="0"/>
          <w:u w:val="single"/>
          <w:rtl/>
        </w:rPr>
        <w:t>לי</w:t>
      </w:r>
      <w:r w:rsidR="00D93DD8">
        <w:rPr>
          <w:rFonts w:ascii="Arial" w:hAnsi="Arial" w:hint="cs"/>
          <w:noProof w:val="0"/>
          <w:u w:val="single"/>
          <w:rtl/>
        </w:rPr>
        <w:t>ך</w:t>
      </w:r>
      <w:r w:rsidR="00CC4DB9" w:rsidRPr="00CC4DB9">
        <w:rPr>
          <w:rFonts w:ascii="Arial" w:hAnsi="Arial" w:hint="cs"/>
          <w:noProof w:val="0"/>
          <w:u w:val="single"/>
          <w:rtl/>
        </w:rPr>
        <w:t>.</w:t>
      </w:r>
      <w:r w:rsidR="00CC4DB9">
        <w:rPr>
          <w:rFonts w:ascii="Arial" w:hAnsi="Arial" w:hint="cs"/>
          <w:noProof w:val="0"/>
          <w:rtl/>
        </w:rPr>
        <w:t xml:space="preserve"> </w:t>
      </w:r>
    </w:p>
    <w:p w:rsidR="00B84633" w:rsidRDefault="00CC4DB9" w:rsidP="007B0BE3">
      <w:pPr>
        <w:pStyle w:val="ad"/>
        <w:numPr>
          <w:ilvl w:val="0"/>
          <w:numId w:val="1"/>
        </w:numPr>
        <w:spacing w:after="160" w:line="360" w:lineRule="auto"/>
        <w:ind w:left="714" w:hanging="357"/>
        <w:contextualSpacing w:val="0"/>
        <w:jc w:val="both"/>
        <w:rPr>
          <w:rFonts w:ascii="Arial" w:hAnsi="Arial"/>
          <w:noProof w:val="0"/>
        </w:rPr>
      </w:pPr>
      <w:r w:rsidRPr="00B84633">
        <w:rPr>
          <w:rFonts w:ascii="Arial" w:hAnsi="Arial" w:hint="cs"/>
          <w:noProof w:val="0"/>
          <w:rtl/>
        </w:rPr>
        <w:t xml:space="preserve">לא ניתן לקבל את הטענה כי פסק הדין לא חל על </w:t>
      </w:r>
      <w:r w:rsidR="007B0BE3">
        <w:rPr>
          <w:rFonts w:ascii="Arial" w:hAnsi="Arial" w:hint="cs"/>
          <w:noProof w:val="0"/>
          <w:rtl/>
        </w:rPr>
        <w:t>כל</w:t>
      </w:r>
      <w:r w:rsidRPr="00B84633">
        <w:rPr>
          <w:rFonts w:ascii="Arial" w:hAnsi="Arial" w:hint="cs"/>
          <w:noProof w:val="0"/>
          <w:rtl/>
        </w:rPr>
        <w:t xml:space="preserve"> הנושאים</w:t>
      </w:r>
      <w:r w:rsidR="007B0BE3">
        <w:rPr>
          <w:rFonts w:ascii="Arial" w:hAnsi="Arial" w:hint="cs"/>
          <w:noProof w:val="0"/>
          <w:rtl/>
        </w:rPr>
        <w:t xml:space="preserve"> שפורטו בכתבי הטענות, בפרט כאשר מדובר בהסכם </w:t>
      </w:r>
      <w:r w:rsidR="00DB3BC6">
        <w:rPr>
          <w:rFonts w:ascii="Arial" w:hAnsi="Arial" w:hint="cs"/>
          <w:noProof w:val="0"/>
          <w:rtl/>
        </w:rPr>
        <w:t>אליו הגיעו הצדדים בהליך</w:t>
      </w:r>
      <w:r w:rsidRPr="00B84633">
        <w:rPr>
          <w:rFonts w:ascii="Arial" w:hAnsi="Arial" w:hint="cs"/>
          <w:noProof w:val="0"/>
          <w:rtl/>
        </w:rPr>
        <w:t xml:space="preserve">. פסק הדין שניתן </w:t>
      </w:r>
      <w:r w:rsidRPr="001E090A">
        <w:rPr>
          <w:rFonts w:ascii="Arial" w:hAnsi="Arial" w:hint="cs"/>
          <w:b/>
          <w:bCs/>
          <w:noProof w:val="0"/>
          <w:rtl/>
        </w:rPr>
        <w:t>איננו</w:t>
      </w:r>
      <w:r w:rsidRPr="00B84633">
        <w:rPr>
          <w:rFonts w:ascii="Arial" w:hAnsi="Arial" w:hint="cs"/>
          <w:noProof w:val="0"/>
          <w:rtl/>
        </w:rPr>
        <w:t xml:space="preserve"> פסק דין ח</w:t>
      </w:r>
      <w:r w:rsidR="00B84633" w:rsidRPr="00B84633">
        <w:rPr>
          <w:rFonts w:ascii="Arial" w:hAnsi="Arial" w:hint="cs"/>
          <w:noProof w:val="0"/>
          <w:rtl/>
        </w:rPr>
        <w:t>לקי, והוא לא הותיר את האפשרות לשוב לבית המשפט ולדרוש מחדש,</w:t>
      </w:r>
      <w:r w:rsidRPr="00B84633">
        <w:rPr>
          <w:rFonts w:ascii="Arial" w:hAnsi="Arial" w:hint="cs"/>
          <w:noProof w:val="0"/>
          <w:rtl/>
        </w:rPr>
        <w:t xml:space="preserve"> בתביעה נפרדת, סעדים </w:t>
      </w:r>
      <w:r w:rsidR="00B84633" w:rsidRPr="00B84633">
        <w:rPr>
          <w:rFonts w:ascii="Arial" w:hAnsi="Arial" w:hint="cs"/>
          <w:noProof w:val="0"/>
          <w:rtl/>
        </w:rPr>
        <w:t>ש</w:t>
      </w:r>
      <w:r w:rsidR="00DB3BC6">
        <w:rPr>
          <w:rFonts w:ascii="Arial" w:hAnsi="Arial" w:hint="cs"/>
          <w:noProof w:val="0"/>
          <w:rtl/>
        </w:rPr>
        <w:t xml:space="preserve">כבר </w:t>
      </w:r>
      <w:r w:rsidR="00B84633" w:rsidRPr="00B84633">
        <w:rPr>
          <w:rFonts w:ascii="Arial" w:hAnsi="Arial" w:hint="cs"/>
          <w:noProof w:val="0"/>
          <w:rtl/>
        </w:rPr>
        <w:t>נדרשו בהליך קודם אך לא התקבלו/לא נכללו בהסכמות</w:t>
      </w:r>
      <w:r w:rsidR="00B84633">
        <w:rPr>
          <w:rFonts w:ascii="Arial" w:hAnsi="Arial" w:hint="cs"/>
          <w:noProof w:val="0"/>
          <w:rtl/>
        </w:rPr>
        <w:t xml:space="preserve"> שאושרו.</w:t>
      </w:r>
    </w:p>
    <w:p w:rsidR="00C7476C" w:rsidRDefault="00B84633" w:rsidP="00D93DD8">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ודוק </w:t>
      </w:r>
      <w:r>
        <w:rPr>
          <w:rFonts w:ascii="Arial" w:hAnsi="Arial"/>
          <w:noProof w:val="0"/>
          <w:rtl/>
        </w:rPr>
        <w:t>–</w:t>
      </w:r>
      <w:r>
        <w:rPr>
          <w:rFonts w:ascii="Arial" w:hAnsi="Arial" w:hint="cs"/>
          <w:noProof w:val="0"/>
          <w:rtl/>
        </w:rPr>
        <w:t xml:space="preserve"> הצדדים </w:t>
      </w:r>
      <w:r w:rsidR="007C6A1F">
        <w:rPr>
          <w:rFonts w:ascii="Arial" w:hAnsi="Arial" w:hint="cs"/>
          <w:noProof w:val="0"/>
          <w:rtl/>
        </w:rPr>
        <w:t xml:space="preserve">התייחסו </w:t>
      </w:r>
      <w:r>
        <w:rPr>
          <w:rFonts w:ascii="Arial" w:hAnsi="Arial" w:hint="cs"/>
          <w:noProof w:val="0"/>
          <w:rtl/>
        </w:rPr>
        <w:t xml:space="preserve">בסעיף </w:t>
      </w:r>
      <w:r w:rsidR="00DB3BC6">
        <w:rPr>
          <w:rFonts w:ascii="Arial" w:hAnsi="Arial" w:hint="cs"/>
          <w:noProof w:val="0"/>
          <w:rtl/>
        </w:rPr>
        <w:t>6 להסכמות שאושרו, לכך</w:t>
      </w:r>
      <w:r w:rsidR="007C6A1F">
        <w:rPr>
          <w:rFonts w:ascii="Arial" w:hAnsi="Arial" w:hint="cs"/>
          <w:noProof w:val="0"/>
          <w:rtl/>
        </w:rPr>
        <w:t xml:space="preserve"> שהוריו של האיש הגישו</w:t>
      </w:r>
      <w:r w:rsidR="001A21A6">
        <w:rPr>
          <w:rFonts w:ascii="Arial" w:hAnsi="Arial" w:hint="cs"/>
          <w:noProof w:val="0"/>
          <w:rtl/>
        </w:rPr>
        <w:t xml:space="preserve"> תביעה נפרדת, ואין בהסכמות הצדדים בכדי לייתר התביעה הנ"ל. דהיינו </w:t>
      </w:r>
      <w:r w:rsidR="001A21A6">
        <w:rPr>
          <w:rFonts w:ascii="Arial" w:hAnsi="Arial"/>
          <w:noProof w:val="0"/>
          <w:rtl/>
        </w:rPr>
        <w:t>–</w:t>
      </w:r>
      <w:r w:rsidR="001A21A6">
        <w:rPr>
          <w:rFonts w:ascii="Arial" w:hAnsi="Arial" w:hint="cs"/>
          <w:noProof w:val="0"/>
          <w:rtl/>
        </w:rPr>
        <w:t xml:space="preserve"> מקום בו היה ברור </w:t>
      </w:r>
      <w:r w:rsidR="001E090A">
        <w:rPr>
          <w:rFonts w:ascii="Arial" w:hAnsi="Arial" w:hint="cs"/>
          <w:noProof w:val="0"/>
          <w:rtl/>
        </w:rPr>
        <w:lastRenderedPageBreak/>
        <w:t xml:space="preserve">לצדדים </w:t>
      </w:r>
      <w:r w:rsidR="00D93DD8">
        <w:rPr>
          <w:rFonts w:ascii="Arial" w:hAnsi="Arial" w:hint="cs"/>
          <w:noProof w:val="0"/>
          <w:rtl/>
        </w:rPr>
        <w:t>כי ההסכמות אינן כוללות סילוק מחלוקת מסוימת ויש להמשיך בהתדיינות המשפטית לגביה,</w:t>
      </w:r>
      <w:r w:rsidR="001A21A6">
        <w:rPr>
          <w:rFonts w:ascii="Arial" w:hAnsi="Arial" w:hint="cs"/>
          <w:noProof w:val="0"/>
          <w:rtl/>
        </w:rPr>
        <w:t xml:space="preserve"> הדבר </w:t>
      </w:r>
      <w:r w:rsidR="00DB3BC6">
        <w:rPr>
          <w:rFonts w:ascii="Arial" w:hAnsi="Arial" w:hint="cs"/>
          <w:noProof w:val="0"/>
          <w:rtl/>
        </w:rPr>
        <w:t xml:space="preserve">צוין </w:t>
      </w:r>
      <w:r w:rsidR="001A21A6">
        <w:rPr>
          <w:rFonts w:ascii="Arial" w:hAnsi="Arial" w:hint="cs"/>
          <w:noProof w:val="0"/>
          <w:rtl/>
        </w:rPr>
        <w:t>מפורשות</w:t>
      </w:r>
      <w:r w:rsidR="00DB3BC6">
        <w:rPr>
          <w:rFonts w:ascii="Arial" w:hAnsi="Arial" w:hint="cs"/>
          <w:noProof w:val="0"/>
          <w:rtl/>
        </w:rPr>
        <w:t>. מכאן ש</w:t>
      </w:r>
      <w:r w:rsidR="001E090A">
        <w:rPr>
          <w:rFonts w:ascii="Arial" w:hAnsi="Arial" w:hint="cs"/>
          <w:noProof w:val="0"/>
          <w:rtl/>
        </w:rPr>
        <w:t>דרישות ל</w:t>
      </w:r>
      <w:r w:rsidR="00DB3BC6">
        <w:rPr>
          <w:rFonts w:ascii="Arial" w:hAnsi="Arial" w:hint="cs"/>
          <w:noProof w:val="0"/>
          <w:rtl/>
        </w:rPr>
        <w:t>סעדים רכושיים/כספיים שלא צויין מפורשות כי ניתן להמשיך ההתדיינות המשפטית לגביהם, סולקו בהסכמות.</w:t>
      </w:r>
    </w:p>
    <w:p w:rsidR="001A21A6" w:rsidRDefault="001A21A6" w:rsidP="00DB3BC6">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אינני מקבלת את הטענה כי מאחר ואין סעיף הקובע העדרן של תביעות נוספות, הרי שניתן להמשיך ולהגיש תביעות, גם בנושאים שעלו ונטענו בהליך קודם</w:t>
      </w:r>
      <w:r w:rsidR="00DB3BC6">
        <w:rPr>
          <w:rFonts w:ascii="Arial" w:hAnsi="Arial" w:hint="cs"/>
          <w:noProof w:val="0"/>
          <w:rtl/>
        </w:rPr>
        <w:t xml:space="preserve"> במסגרתו הגיעו הצדדים להסכם</w:t>
      </w:r>
      <w:r>
        <w:rPr>
          <w:rFonts w:ascii="Arial" w:hAnsi="Arial" w:hint="cs"/>
          <w:noProof w:val="0"/>
          <w:rtl/>
        </w:rPr>
        <w:t>. אין כל צורך בסעיף העדר תביעות. הפשט הוא שכל נושא שעלה בכתבי הטענות בהליך, סולק במסגרת הסכמות הצדדים באותו הליך</w:t>
      </w:r>
      <w:r w:rsidR="001513F2">
        <w:rPr>
          <w:rFonts w:ascii="Arial" w:hAnsi="Arial" w:hint="cs"/>
          <w:noProof w:val="0"/>
          <w:rtl/>
        </w:rPr>
        <w:t xml:space="preserve"> שאושרו בפסק דין</w:t>
      </w:r>
      <w:r>
        <w:rPr>
          <w:rFonts w:ascii="Arial" w:hAnsi="Arial" w:hint="cs"/>
          <w:noProof w:val="0"/>
          <w:rtl/>
        </w:rPr>
        <w:t>, אלא אם שמרו הצדדים באופן מפורש על זכותם לטעון ב</w:t>
      </w:r>
      <w:r w:rsidR="001513F2">
        <w:rPr>
          <w:rFonts w:ascii="Arial" w:hAnsi="Arial" w:hint="cs"/>
          <w:noProof w:val="0"/>
          <w:rtl/>
        </w:rPr>
        <w:t xml:space="preserve">תביעה </w:t>
      </w:r>
      <w:r>
        <w:rPr>
          <w:rFonts w:ascii="Arial" w:hAnsi="Arial" w:hint="cs"/>
          <w:noProof w:val="0"/>
          <w:rtl/>
        </w:rPr>
        <w:t>נפרד</w:t>
      </w:r>
      <w:r w:rsidR="001513F2">
        <w:rPr>
          <w:rFonts w:ascii="Arial" w:hAnsi="Arial" w:hint="cs"/>
          <w:noProof w:val="0"/>
          <w:rtl/>
        </w:rPr>
        <w:t>ת</w:t>
      </w:r>
      <w:r>
        <w:rPr>
          <w:rFonts w:ascii="Arial" w:hAnsi="Arial" w:hint="cs"/>
          <w:noProof w:val="0"/>
          <w:rtl/>
        </w:rPr>
        <w:t xml:space="preserve"> חלק מהטענות, כפי שעשו הצדדים בעניין טענות כספיות שהיו להורי האיש.</w:t>
      </w:r>
    </w:p>
    <w:p w:rsidR="00E94513" w:rsidRDefault="00E94513" w:rsidP="00712C48">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הסכם איזון משאבים מתייחס מעצם טבעו למכלול הרכוש של הצדדים, למעט, אולי, נכסים שהוסתרו על ידי מי מהצדדים בעת גיבוש ההסכמות</w:t>
      </w:r>
      <w:r w:rsidR="00DB3BC6">
        <w:rPr>
          <w:rFonts w:ascii="Arial" w:hAnsi="Arial" w:hint="cs"/>
          <w:noProof w:val="0"/>
          <w:rtl/>
        </w:rPr>
        <w:t xml:space="preserve"> ו</w:t>
      </w:r>
      <w:r w:rsidR="00712C48">
        <w:rPr>
          <w:rFonts w:ascii="Arial" w:hAnsi="Arial" w:hint="cs"/>
          <w:noProof w:val="0"/>
          <w:rtl/>
        </w:rPr>
        <w:t xml:space="preserve">קיומם </w:t>
      </w:r>
      <w:r w:rsidR="00DB3BC6">
        <w:rPr>
          <w:rFonts w:ascii="Arial" w:hAnsi="Arial" w:hint="cs"/>
          <w:noProof w:val="0"/>
          <w:rtl/>
        </w:rPr>
        <w:t>לא הי</w:t>
      </w:r>
      <w:r w:rsidR="00712C48">
        <w:rPr>
          <w:rFonts w:ascii="Arial" w:hAnsi="Arial" w:hint="cs"/>
          <w:noProof w:val="0"/>
          <w:rtl/>
        </w:rPr>
        <w:t>ה</w:t>
      </w:r>
      <w:r w:rsidR="00DB3BC6">
        <w:rPr>
          <w:rFonts w:ascii="Arial" w:hAnsi="Arial" w:hint="cs"/>
          <w:noProof w:val="0"/>
          <w:rtl/>
        </w:rPr>
        <w:t xml:space="preserve"> ידוע לפיכך ל</w:t>
      </w:r>
      <w:r w:rsidR="00712C48">
        <w:rPr>
          <w:rFonts w:ascii="Arial" w:hAnsi="Arial" w:hint="cs"/>
          <w:noProof w:val="0"/>
          <w:rtl/>
        </w:rPr>
        <w:t>אחד הצדדים להסכם</w:t>
      </w:r>
      <w:r>
        <w:rPr>
          <w:rFonts w:ascii="Arial" w:hAnsi="Arial" w:hint="cs"/>
          <w:noProof w:val="0"/>
          <w:rtl/>
        </w:rPr>
        <w:t>, ואין זה המקרה שבפני. גישה זו עולה בקנה אחד עם הוראות תקנ</w:t>
      </w:r>
      <w:r w:rsidR="001B422E">
        <w:rPr>
          <w:rFonts w:ascii="Arial" w:hAnsi="Arial" w:hint="cs"/>
          <w:noProof w:val="0"/>
          <w:rtl/>
        </w:rPr>
        <w:t>ה 15 (א) (1)</w:t>
      </w:r>
      <w:r>
        <w:rPr>
          <w:rFonts w:ascii="Arial" w:hAnsi="Arial" w:hint="cs"/>
          <w:noProof w:val="0"/>
          <w:rtl/>
        </w:rPr>
        <w:t xml:space="preserve"> ולפיה יש לאחד בתביעה אחת את כל הטענות הרכושיות</w:t>
      </w:r>
      <w:r w:rsidR="001B422E">
        <w:rPr>
          <w:rFonts w:ascii="Arial" w:hAnsi="Arial" w:hint="cs"/>
          <w:noProof w:val="0"/>
          <w:rtl/>
        </w:rPr>
        <w:t xml:space="preserve"> וכן תקנה 2 (א) המורה כי בית המשפט אחראי גם על צמצום ההתדיינות השיפוטית. </w:t>
      </w:r>
    </w:p>
    <w:p w:rsidR="00712C48" w:rsidRPr="00712C48" w:rsidRDefault="00D104A7" w:rsidP="00DC7C9F">
      <w:pPr>
        <w:pStyle w:val="ad"/>
        <w:numPr>
          <w:ilvl w:val="0"/>
          <w:numId w:val="1"/>
        </w:numPr>
        <w:spacing w:after="160" w:line="360" w:lineRule="auto"/>
        <w:ind w:left="714" w:hanging="357"/>
        <w:contextualSpacing w:val="0"/>
        <w:jc w:val="both"/>
        <w:rPr>
          <w:rFonts w:ascii="Arial" w:hAnsi="Arial"/>
          <w:b/>
          <w:bCs/>
          <w:noProof w:val="0"/>
        </w:rPr>
      </w:pPr>
      <w:r>
        <w:rPr>
          <w:rFonts w:ascii="Arial" w:hAnsi="Arial" w:hint="cs"/>
          <w:noProof w:val="0"/>
          <w:rtl/>
        </w:rPr>
        <w:t>בחלק ניכר מההסכמים אליהם מגיעים צדדים בהליכי איזון משאבים, קיים רכיב של פשרה, דהיינו ויתור של בעלי הדין על חלק מטענותיהם. ויתור זה הוא אינהרנטי למהותה של פשרה</w:t>
      </w:r>
      <w:r w:rsidR="00DC7C9F">
        <w:rPr>
          <w:rFonts w:ascii="Arial" w:hAnsi="Arial" w:hint="cs"/>
          <w:noProof w:val="0"/>
          <w:rtl/>
        </w:rPr>
        <w:t xml:space="preserve"> - </w:t>
      </w:r>
      <w:r>
        <w:rPr>
          <w:rFonts w:ascii="Arial" w:hAnsi="Arial" w:hint="cs"/>
          <w:noProof w:val="0"/>
          <w:rtl/>
        </w:rPr>
        <w:t xml:space="preserve">הסכם בין בעלי הדין המסלק טענותיהם ההדדיות. כבר נקבע כי </w:t>
      </w:r>
      <w:r w:rsidRPr="00DC7C9F">
        <w:rPr>
          <w:rFonts w:ascii="Arial" w:hAnsi="Arial" w:hint="cs"/>
          <w:b/>
          <w:bCs/>
          <w:noProof w:val="0"/>
          <w:rtl/>
        </w:rPr>
        <w:t>"אחת ממטרותיה העיקריות של פשרה היא למנוע תביעות נוספות בעתיד בקשר לעניין נושא הפשרה</w:t>
      </w:r>
      <w:r w:rsidR="00DC7C9F" w:rsidRPr="00DC7C9F">
        <w:rPr>
          <w:rFonts w:ascii="Arial" w:hAnsi="Arial" w:hint="cs"/>
          <w:b/>
          <w:bCs/>
          <w:noProof w:val="0"/>
          <w:rtl/>
        </w:rPr>
        <w:t>"</w:t>
      </w:r>
      <w:r w:rsidR="00DC7C9F">
        <w:rPr>
          <w:rFonts w:ascii="Arial" w:hAnsi="Arial" w:hint="cs"/>
          <w:noProof w:val="0"/>
          <w:rtl/>
        </w:rPr>
        <w:t xml:space="preserve"> (ובענייננו </w:t>
      </w:r>
      <w:r w:rsidR="00DC7C9F">
        <w:rPr>
          <w:rFonts w:ascii="Arial" w:hAnsi="Arial"/>
          <w:noProof w:val="0"/>
          <w:rtl/>
        </w:rPr>
        <w:t>–</w:t>
      </w:r>
      <w:r w:rsidR="00DC7C9F">
        <w:rPr>
          <w:rFonts w:ascii="Arial" w:hAnsi="Arial" w:hint="cs"/>
          <w:noProof w:val="0"/>
          <w:rtl/>
        </w:rPr>
        <w:t xml:space="preserve"> איזון המשאבים), וכן כי </w:t>
      </w:r>
      <w:r w:rsidR="00DC7C9F" w:rsidRPr="00DC7C9F">
        <w:rPr>
          <w:rFonts w:ascii="Arial" w:hAnsi="Arial" w:hint="cs"/>
          <w:b/>
          <w:bCs/>
          <w:noProof w:val="0"/>
          <w:rtl/>
        </w:rPr>
        <w:t>"מנקודת המבט של הצדדים להסכם פשרה, תכונת הסופיות היא תכונה חיונית. טול מן הפשרה תכונה זו, ונטלת ממנה את טעם קיומה."</w:t>
      </w:r>
      <w:r w:rsidR="00DC7C9F">
        <w:rPr>
          <w:rFonts w:ascii="Arial" w:hAnsi="Arial" w:hint="cs"/>
          <w:noProof w:val="0"/>
          <w:rtl/>
        </w:rPr>
        <w:t xml:space="preserve"> ראה בע"א 2495/95, </w:t>
      </w:r>
      <w:r w:rsidR="00DC7C9F" w:rsidRPr="00DC7C9F">
        <w:rPr>
          <w:rFonts w:ascii="Arial" w:hAnsi="Arial" w:hint="cs"/>
          <w:noProof w:val="0"/>
          <w:u w:val="single"/>
          <w:rtl/>
        </w:rPr>
        <w:t>בן לולו נגד אטרש ואח'</w:t>
      </w:r>
      <w:r w:rsidR="00DC7C9F">
        <w:rPr>
          <w:rFonts w:ascii="Arial" w:hAnsi="Arial" w:hint="cs"/>
          <w:noProof w:val="0"/>
          <w:rtl/>
        </w:rPr>
        <w:t>, פד"י נ"א 1, 577, 591.</w:t>
      </w:r>
      <w:r w:rsidR="00B87347">
        <w:rPr>
          <w:rFonts w:ascii="Arial" w:hAnsi="Arial" w:hint="cs"/>
          <w:noProof w:val="0"/>
          <w:rtl/>
        </w:rPr>
        <w:t xml:space="preserve"> </w:t>
      </w:r>
    </w:p>
    <w:p w:rsidR="00D104A7" w:rsidRPr="00C115EC" w:rsidRDefault="00712C48" w:rsidP="00712C48">
      <w:pPr>
        <w:pStyle w:val="ad"/>
        <w:spacing w:after="160" w:line="360" w:lineRule="auto"/>
        <w:ind w:left="714"/>
        <w:contextualSpacing w:val="0"/>
        <w:jc w:val="both"/>
        <w:rPr>
          <w:rFonts w:ascii="Arial" w:hAnsi="Arial"/>
          <w:b/>
          <w:bCs/>
          <w:noProof w:val="0"/>
        </w:rPr>
      </w:pPr>
      <w:r>
        <w:rPr>
          <w:rFonts w:ascii="Arial" w:hAnsi="Arial" w:hint="cs"/>
          <w:noProof w:val="0"/>
          <w:rtl/>
        </w:rPr>
        <w:t xml:space="preserve">עוד </w:t>
      </w:r>
      <w:r w:rsidR="00B87347">
        <w:rPr>
          <w:rFonts w:ascii="Arial" w:hAnsi="Arial" w:hint="cs"/>
          <w:noProof w:val="0"/>
          <w:rtl/>
        </w:rPr>
        <w:t xml:space="preserve">ראה בע"א </w:t>
      </w:r>
      <w:r w:rsidR="00C115EC">
        <w:rPr>
          <w:rFonts w:ascii="Arial" w:hAnsi="Arial" w:hint="cs"/>
          <w:noProof w:val="0"/>
          <w:rtl/>
        </w:rPr>
        <w:t xml:space="preserve">5858/19 </w:t>
      </w:r>
      <w:r w:rsidR="00C115EC" w:rsidRPr="00712C48">
        <w:rPr>
          <w:rFonts w:ascii="Arial" w:hAnsi="Arial" w:hint="cs"/>
          <w:noProof w:val="0"/>
          <w:u w:val="single"/>
          <w:rtl/>
        </w:rPr>
        <w:t>פסגות קופות גמל ופנסיה בע"מ נגד חיים אופיר</w:t>
      </w:r>
      <w:r w:rsidR="00C115EC">
        <w:rPr>
          <w:rFonts w:ascii="Arial" w:hAnsi="Arial" w:hint="cs"/>
          <w:noProof w:val="0"/>
          <w:rtl/>
        </w:rPr>
        <w:t>, פורסם בנבו, סעיף 28 לפסה"ד: "</w:t>
      </w:r>
      <w:r w:rsidR="00C115EC" w:rsidRPr="00C115EC">
        <w:rPr>
          <w:rFonts w:ascii="Arial" w:hAnsi="Arial" w:hint="cs"/>
          <w:b/>
          <w:bCs/>
          <w:noProof w:val="0"/>
          <w:rtl/>
        </w:rPr>
        <w:t>נקודת המוצא לדיון במעמדו של הסדר פשרה שניתן לו תוקף של פסק דין היא כי יש לייחס משקל רב לסופיותם של הסכמים כעין אלה, וזאת כדי להגשים את ציפיותיהם הסבירות של הצדדים לגבי אותם הסכמי פשרה."</w:t>
      </w:r>
    </w:p>
    <w:p w:rsidR="00C65B74" w:rsidRDefault="001513F2" w:rsidP="002D55A7">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נוכח כל האמור, הנני קובעת כי בנוגע לטענות האיש בדבר זכותו ל</w:t>
      </w:r>
      <w:r w:rsidR="00E94513">
        <w:rPr>
          <w:rFonts w:ascii="Arial" w:hAnsi="Arial" w:hint="cs"/>
          <w:noProof w:val="0"/>
          <w:rtl/>
        </w:rPr>
        <w:t xml:space="preserve">קבל </w:t>
      </w:r>
      <w:r w:rsidR="002D55A7">
        <w:rPr>
          <w:rFonts w:ascii="Arial" w:hAnsi="Arial" w:hint="cs"/>
          <w:noProof w:val="0"/>
          <w:rtl/>
        </w:rPr>
        <w:t>חלק בשווי העסק, קיים מעשה בי דין</w:t>
      </w:r>
      <w:r w:rsidR="001C6A8E">
        <w:rPr>
          <w:rFonts w:ascii="Arial" w:hAnsi="Arial" w:hint="cs"/>
          <w:noProof w:val="0"/>
          <w:rtl/>
        </w:rPr>
        <w:t>.</w:t>
      </w:r>
      <w:r w:rsidR="00E94513">
        <w:rPr>
          <w:rFonts w:ascii="Arial" w:hAnsi="Arial" w:hint="cs"/>
          <w:noProof w:val="0"/>
          <w:rtl/>
        </w:rPr>
        <w:t xml:space="preserve"> </w:t>
      </w:r>
    </w:p>
    <w:p w:rsidR="00233B31" w:rsidRDefault="00233B31" w:rsidP="002D55A7">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הבקשה מתקבלת</w:t>
      </w:r>
      <w:r w:rsidR="001C6A8E">
        <w:rPr>
          <w:rFonts w:ascii="Arial" w:hAnsi="Arial" w:hint="cs"/>
          <w:noProof w:val="0"/>
          <w:rtl/>
        </w:rPr>
        <w:t xml:space="preserve">. הנני מורה על </w:t>
      </w:r>
      <w:r>
        <w:rPr>
          <w:rFonts w:ascii="Arial" w:hAnsi="Arial" w:hint="cs"/>
          <w:noProof w:val="0"/>
          <w:rtl/>
        </w:rPr>
        <w:t>דחיית ההליך</w:t>
      </w:r>
      <w:r w:rsidR="003F2DB5">
        <w:rPr>
          <w:rFonts w:ascii="Arial" w:hAnsi="Arial" w:hint="cs"/>
          <w:noProof w:val="0"/>
          <w:rtl/>
        </w:rPr>
        <w:t>, וזאת מתוקף סמכות בית המשפט בהתאם לתקנה 43 לתק</w:t>
      </w:r>
      <w:r w:rsidR="002D55A7">
        <w:rPr>
          <w:rFonts w:ascii="Arial" w:hAnsi="Arial" w:hint="cs"/>
          <w:noProof w:val="0"/>
          <w:rtl/>
        </w:rPr>
        <w:t>נות סדר הדין האזרחי,</w:t>
      </w:r>
      <w:r w:rsidR="003F2DB5">
        <w:rPr>
          <w:rFonts w:ascii="Arial" w:hAnsi="Arial" w:hint="cs"/>
          <w:noProof w:val="0"/>
          <w:rtl/>
        </w:rPr>
        <w:t xml:space="preserve"> תשע"ט 2018</w:t>
      </w:r>
      <w:r>
        <w:rPr>
          <w:rFonts w:ascii="Arial" w:hAnsi="Arial" w:hint="cs"/>
          <w:noProof w:val="0"/>
          <w:rtl/>
        </w:rPr>
        <w:t>.</w:t>
      </w:r>
    </w:p>
    <w:p w:rsidR="00233B31" w:rsidRDefault="004D7C98" w:rsidP="003F2DB5">
      <w:pPr>
        <w:numPr>
          <w:ilvl w:val="0"/>
          <w:numId w:val="1"/>
        </w:numPr>
        <w:spacing w:line="360" w:lineRule="auto"/>
        <w:contextualSpacing/>
        <w:jc w:val="both"/>
        <w:rPr>
          <w:rFonts w:ascii="Arial" w:hAnsi="Arial"/>
          <w:noProof w:val="0"/>
        </w:rPr>
      </w:pPr>
      <w:r w:rsidRPr="003F2DB5">
        <w:rPr>
          <w:rFonts w:ascii="Arial" w:hAnsi="Arial" w:hint="cs"/>
          <w:b/>
          <w:bCs/>
          <w:noProof w:val="0"/>
          <w:u w:val="single"/>
          <w:rtl/>
        </w:rPr>
        <w:lastRenderedPageBreak/>
        <w:t>הוצאות ההליך:</w:t>
      </w:r>
      <w:r>
        <w:rPr>
          <w:rFonts w:ascii="Arial" w:hAnsi="Arial" w:hint="cs"/>
          <w:noProof w:val="0"/>
          <w:rtl/>
        </w:rPr>
        <w:t xml:space="preserve"> לקחתי בחשבון ש</w:t>
      </w:r>
      <w:r w:rsidR="001C6A8E">
        <w:rPr>
          <w:rFonts w:ascii="Arial" w:hAnsi="Arial" w:hint="cs"/>
          <w:noProof w:val="0"/>
          <w:rtl/>
        </w:rPr>
        <w:t>הוגשה על ידי הנתבעת בקשה לסילוק על הסף</w:t>
      </w:r>
      <w:r>
        <w:rPr>
          <w:rFonts w:ascii="Arial" w:hAnsi="Arial" w:hint="cs"/>
          <w:noProof w:val="0"/>
          <w:rtl/>
        </w:rPr>
        <w:t>,</w:t>
      </w:r>
      <w:r w:rsidR="001C6A8E">
        <w:rPr>
          <w:rFonts w:ascii="Arial" w:hAnsi="Arial" w:hint="cs"/>
          <w:noProof w:val="0"/>
          <w:rtl/>
        </w:rPr>
        <w:t xml:space="preserve"> אך לא הוגש כתב הגנה ולא התקיים דיון</w:t>
      </w:r>
      <w:r>
        <w:rPr>
          <w:rFonts w:ascii="Arial" w:hAnsi="Arial" w:hint="cs"/>
          <w:noProof w:val="0"/>
          <w:rtl/>
        </w:rPr>
        <w:t xml:space="preserve">. הנני מוצאת להעמיד את הוצאות ההליך על סך של </w:t>
      </w:r>
      <w:r w:rsidR="001C6A8E">
        <w:rPr>
          <w:rFonts w:ascii="Arial" w:hAnsi="Arial" w:hint="cs"/>
          <w:noProof w:val="0"/>
          <w:rtl/>
        </w:rPr>
        <w:t xml:space="preserve"> </w:t>
      </w:r>
      <w:r w:rsidR="003F2DB5">
        <w:rPr>
          <w:rFonts w:ascii="Arial" w:hAnsi="Arial" w:hint="cs"/>
          <w:noProof w:val="0"/>
          <w:rtl/>
        </w:rPr>
        <w:t>3</w:t>
      </w:r>
      <w:r w:rsidR="001C6A8E">
        <w:rPr>
          <w:rFonts w:ascii="Arial" w:hAnsi="Arial" w:hint="cs"/>
          <w:noProof w:val="0"/>
          <w:rtl/>
        </w:rPr>
        <w:t>,</w:t>
      </w:r>
      <w:r w:rsidR="003F2DB5">
        <w:rPr>
          <w:rFonts w:ascii="Arial" w:hAnsi="Arial" w:hint="cs"/>
          <w:noProof w:val="0"/>
          <w:rtl/>
        </w:rPr>
        <w:t>5</w:t>
      </w:r>
      <w:r w:rsidR="001C6A8E">
        <w:rPr>
          <w:rFonts w:ascii="Arial" w:hAnsi="Arial" w:hint="cs"/>
          <w:noProof w:val="0"/>
          <w:rtl/>
        </w:rPr>
        <w:t xml:space="preserve">00 ₪, </w:t>
      </w:r>
      <w:r>
        <w:rPr>
          <w:rFonts w:ascii="Arial" w:hAnsi="Arial" w:hint="cs"/>
          <w:noProof w:val="0"/>
          <w:rtl/>
        </w:rPr>
        <w:t xml:space="preserve">אשר </w:t>
      </w:r>
      <w:r w:rsidR="001C6A8E">
        <w:rPr>
          <w:rFonts w:ascii="Arial" w:hAnsi="Arial" w:hint="cs"/>
          <w:noProof w:val="0"/>
          <w:rtl/>
        </w:rPr>
        <w:t>ישולמו על ידי התובע לנתבעת בתוך 30 יום מהיום</w:t>
      </w:r>
      <w:r>
        <w:rPr>
          <w:rFonts w:ascii="Arial" w:hAnsi="Arial" w:hint="cs"/>
          <w:noProof w:val="0"/>
          <w:rtl/>
        </w:rPr>
        <w:t>,</w:t>
      </w:r>
      <w:r w:rsidR="001C6A8E">
        <w:rPr>
          <w:rFonts w:ascii="Arial" w:hAnsi="Arial" w:hint="cs"/>
          <w:noProof w:val="0"/>
          <w:rtl/>
        </w:rPr>
        <w:t xml:space="preserve"> שאם לא כן ישא הסכום הפרשי הצמדה וריבית כחוק</w:t>
      </w:r>
      <w:r w:rsidR="003F2DB5">
        <w:rPr>
          <w:rFonts w:ascii="Arial" w:hAnsi="Arial" w:hint="cs"/>
          <w:noProof w:val="0"/>
          <w:rtl/>
        </w:rPr>
        <w:t>,</w:t>
      </w:r>
      <w:r w:rsidR="001C6A8E">
        <w:rPr>
          <w:rFonts w:ascii="Arial" w:hAnsi="Arial" w:hint="cs"/>
          <w:noProof w:val="0"/>
          <w:rtl/>
        </w:rPr>
        <w:t xml:space="preserve"> מהיום המיועד לתשלום ועד ליום התשלום בפועל.</w:t>
      </w:r>
    </w:p>
    <w:p w:rsidR="001C6A8E" w:rsidRDefault="001C6A8E" w:rsidP="001C6A8E">
      <w:pPr>
        <w:spacing w:line="360" w:lineRule="auto"/>
        <w:ind w:left="720"/>
        <w:contextualSpacing/>
        <w:jc w:val="both"/>
        <w:rPr>
          <w:rFonts w:ascii="Arial" w:hAnsi="Arial"/>
          <w:noProof w:val="0"/>
        </w:rPr>
      </w:pPr>
    </w:p>
    <w:p w:rsidR="001C6A8E" w:rsidRDefault="001C6A8E" w:rsidP="007B0FE2">
      <w:pPr>
        <w:numPr>
          <w:ilvl w:val="0"/>
          <w:numId w:val="1"/>
        </w:numPr>
        <w:spacing w:line="360" w:lineRule="auto"/>
        <w:contextualSpacing/>
        <w:jc w:val="both"/>
        <w:rPr>
          <w:rFonts w:ascii="Arial" w:hAnsi="Arial"/>
          <w:noProof w:val="0"/>
        </w:rPr>
      </w:pPr>
      <w:r>
        <w:rPr>
          <w:rFonts w:ascii="Arial" w:hAnsi="Arial" w:hint="cs"/>
          <w:noProof w:val="0"/>
          <w:rtl/>
        </w:rPr>
        <w:t>התיק יסגר.</w:t>
      </w:r>
    </w:p>
    <w:p w:rsidR="004D7C98" w:rsidRDefault="004D7C98" w:rsidP="004D7C98">
      <w:pPr>
        <w:pStyle w:val="ad"/>
        <w:rPr>
          <w:rFonts w:ascii="Arial" w:hAnsi="Arial"/>
          <w:noProof w:val="0"/>
          <w:rtl/>
        </w:rPr>
      </w:pPr>
    </w:p>
    <w:p w:rsidR="004D7C98" w:rsidRPr="00233B31" w:rsidRDefault="004D7C98" w:rsidP="007B0FE2">
      <w:pPr>
        <w:numPr>
          <w:ilvl w:val="0"/>
          <w:numId w:val="1"/>
        </w:numPr>
        <w:spacing w:line="360" w:lineRule="auto"/>
        <w:contextualSpacing/>
        <w:jc w:val="both"/>
        <w:rPr>
          <w:rFonts w:ascii="Arial" w:hAnsi="Arial"/>
          <w:noProof w:val="0"/>
          <w:rtl/>
        </w:rPr>
      </w:pPr>
      <w:r>
        <w:rPr>
          <w:rFonts w:ascii="Arial" w:hAnsi="Arial" w:hint="cs"/>
          <w:noProof w:val="0"/>
          <w:rtl/>
        </w:rPr>
        <w:t>מותר לפרסום ללא פרטים מזהים.</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ט"ו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16 דצמבר 2024</w:t>
          </w:r>
        </w:sdtContent>
      </w:sdt>
      <w:r w:rsidR="00005C8B">
        <w:rPr>
          <w:rFonts w:ascii="Arial" w:hAnsi="Arial"/>
          <w:noProof w:val="0"/>
          <w:rtl/>
        </w:rPr>
        <w:t>, בהעדר הצדדים.</w:t>
      </w:r>
    </w:p>
    <w:p w:rsidR="00C43648" w:rsidRDefault="00B376C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77538359"/>
        </w:sdtPr>
        <w:sdtEndPr/>
        <w:sdtContent>
          <w:r w:rsidR="00FD6BFF">
            <w:drawing>
              <wp:inline distT="0" distB="0" distL="0" distR="0" wp14:editId="50D07946">
                <wp:extent cx="1285875"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285875" cy="15049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6C0" w:rsidRDefault="00B376C0">
      <w:r>
        <w:separator/>
      </w:r>
    </w:p>
  </w:endnote>
  <w:endnote w:type="continuationSeparator" w:id="0">
    <w:p w:rsidR="00B376C0" w:rsidRDefault="00B37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C8E" w:rsidRDefault="00ED0C8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6768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67688">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C8E" w:rsidRDefault="00ED0C8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6C0" w:rsidRDefault="00B376C0">
      <w:r>
        <w:separator/>
      </w:r>
    </w:p>
  </w:footnote>
  <w:footnote w:type="continuationSeparator" w:id="0">
    <w:p w:rsidR="00B376C0" w:rsidRDefault="00B37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C8E" w:rsidRDefault="00ED0C8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B376C0" w:rsidP="007D45E3">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73327-11-24</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FD6BFF">
                <w:rPr>
                  <w:rFonts w:hint="cs"/>
                  <w:b/>
                  <w:bCs/>
                  <w:noProof w:val="0"/>
                  <w:sz w:val="26"/>
                  <w:szCs w:val="26"/>
                  <w:rtl/>
                </w:rPr>
                <w:t>***</w:t>
              </w:r>
              <w:r w:rsidR="00FD6BFF">
                <w:rPr>
                  <w:b/>
                  <w:bCs/>
                  <w:noProof w:val="0"/>
                  <w:sz w:val="26"/>
                  <w:szCs w:val="26"/>
                  <w:rtl/>
                </w:rPr>
                <w:t xml:space="preserve"> נ' </w:t>
              </w:r>
              <w:r w:rsidR="00FD6BFF">
                <w:rPr>
                  <w:rFonts w:hint="cs"/>
                  <w:b/>
                  <w:bCs/>
                  <w:noProof w:val="0"/>
                  <w:sz w:val="26"/>
                  <w:szCs w:val="26"/>
                  <w:rtl/>
                </w:rPr>
                <w:t>***</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C8E" w:rsidRDefault="00ED0C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D18D7"/>
    <w:multiLevelType w:val="hybridMultilevel"/>
    <w:tmpl w:val="9F087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FA37D1"/>
    <w:multiLevelType w:val="hybridMultilevel"/>
    <w:tmpl w:val="DC540B28"/>
    <w:lvl w:ilvl="0" w:tplc="67E2C5F8">
      <w:start w:val="1"/>
      <w:numFmt w:val="decimal"/>
      <w:lvlText w:val="%1."/>
      <w:lvlJc w:val="left"/>
      <w:pPr>
        <w:ind w:left="785" w:hanging="360"/>
      </w:pPr>
      <w:rPr>
        <w:b w:val="0"/>
        <w:bCs w:val="0"/>
      </w:rPr>
    </w:lvl>
    <w:lvl w:ilvl="1" w:tplc="04090013">
      <w:start w:val="1"/>
      <w:numFmt w:val="hebrew1"/>
      <w:lvlText w:val="%2."/>
      <w:lvlJc w:val="center"/>
      <w:pPr>
        <w:ind w:left="1440" w:hanging="360"/>
      </w:p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529D2"/>
    <w:rsid w:val="00055887"/>
    <w:rsid w:val="000564AB"/>
    <w:rsid w:val="00064651"/>
    <w:rsid w:val="00064FBD"/>
    <w:rsid w:val="00082AB2"/>
    <w:rsid w:val="000906FE"/>
    <w:rsid w:val="00096AF7"/>
    <w:rsid w:val="000B0702"/>
    <w:rsid w:val="000B344B"/>
    <w:rsid w:val="000C3B0F"/>
    <w:rsid w:val="000C3B60"/>
    <w:rsid w:val="000E0DD2"/>
    <w:rsid w:val="000E3AF1"/>
    <w:rsid w:val="000F0BC8"/>
    <w:rsid w:val="000F0DD6"/>
    <w:rsid w:val="00107E6D"/>
    <w:rsid w:val="00107FE6"/>
    <w:rsid w:val="0011194C"/>
    <w:rsid w:val="0011424C"/>
    <w:rsid w:val="001173C6"/>
    <w:rsid w:val="00136493"/>
    <w:rsid w:val="001367BC"/>
    <w:rsid w:val="00144D2A"/>
    <w:rsid w:val="0014653E"/>
    <w:rsid w:val="001513F2"/>
    <w:rsid w:val="00154455"/>
    <w:rsid w:val="00180519"/>
    <w:rsid w:val="00191C82"/>
    <w:rsid w:val="001A21A6"/>
    <w:rsid w:val="001B422E"/>
    <w:rsid w:val="001C4003"/>
    <w:rsid w:val="001C6A8E"/>
    <w:rsid w:val="001D4DBF"/>
    <w:rsid w:val="001E090A"/>
    <w:rsid w:val="001E75CA"/>
    <w:rsid w:val="001F3D1D"/>
    <w:rsid w:val="002265FF"/>
    <w:rsid w:val="00232EFA"/>
    <w:rsid w:val="00233B31"/>
    <w:rsid w:val="00234943"/>
    <w:rsid w:val="00271B56"/>
    <w:rsid w:val="0028443A"/>
    <w:rsid w:val="00297750"/>
    <w:rsid w:val="002B749A"/>
    <w:rsid w:val="002C344E"/>
    <w:rsid w:val="002C3F4A"/>
    <w:rsid w:val="002D55A7"/>
    <w:rsid w:val="002D7C17"/>
    <w:rsid w:val="002E75E9"/>
    <w:rsid w:val="00307A6A"/>
    <w:rsid w:val="00307C40"/>
    <w:rsid w:val="00320433"/>
    <w:rsid w:val="003230C7"/>
    <w:rsid w:val="00327E50"/>
    <w:rsid w:val="0033597A"/>
    <w:rsid w:val="00343D89"/>
    <w:rsid w:val="00362612"/>
    <w:rsid w:val="0036743F"/>
    <w:rsid w:val="00367469"/>
    <w:rsid w:val="003715DD"/>
    <w:rsid w:val="003823E0"/>
    <w:rsid w:val="003A4521"/>
    <w:rsid w:val="003D1C8C"/>
    <w:rsid w:val="003F09EB"/>
    <w:rsid w:val="003F2DB5"/>
    <w:rsid w:val="0040096C"/>
    <w:rsid w:val="00414F1F"/>
    <w:rsid w:val="00422573"/>
    <w:rsid w:val="0043125D"/>
    <w:rsid w:val="0043502B"/>
    <w:rsid w:val="004443AC"/>
    <w:rsid w:val="00444B02"/>
    <w:rsid w:val="00451E28"/>
    <w:rsid w:val="00462C62"/>
    <w:rsid w:val="00465D36"/>
    <w:rsid w:val="00485150"/>
    <w:rsid w:val="004910C1"/>
    <w:rsid w:val="004C17EE"/>
    <w:rsid w:val="004C4BDF"/>
    <w:rsid w:val="004D1187"/>
    <w:rsid w:val="004D3AA0"/>
    <w:rsid w:val="004D3EDE"/>
    <w:rsid w:val="004D7C98"/>
    <w:rsid w:val="004E1987"/>
    <w:rsid w:val="004E2E15"/>
    <w:rsid w:val="004E6E3C"/>
    <w:rsid w:val="00520898"/>
    <w:rsid w:val="00523621"/>
    <w:rsid w:val="00524986"/>
    <w:rsid w:val="005268F6"/>
    <w:rsid w:val="00534284"/>
    <w:rsid w:val="00547DB7"/>
    <w:rsid w:val="00555DFB"/>
    <w:rsid w:val="00563B3D"/>
    <w:rsid w:val="00582350"/>
    <w:rsid w:val="005B6AF9"/>
    <w:rsid w:val="005C5ECA"/>
    <w:rsid w:val="005D2275"/>
    <w:rsid w:val="005E583B"/>
    <w:rsid w:val="005F4F09"/>
    <w:rsid w:val="006135A0"/>
    <w:rsid w:val="0061431B"/>
    <w:rsid w:val="0061494E"/>
    <w:rsid w:val="00622BAA"/>
    <w:rsid w:val="006306CF"/>
    <w:rsid w:val="006440C6"/>
    <w:rsid w:val="00644E9A"/>
    <w:rsid w:val="006478B0"/>
    <w:rsid w:val="00656A61"/>
    <w:rsid w:val="00660520"/>
    <w:rsid w:val="00671BD5"/>
    <w:rsid w:val="006805C1"/>
    <w:rsid w:val="00686C21"/>
    <w:rsid w:val="006931C1"/>
    <w:rsid w:val="00694556"/>
    <w:rsid w:val="006A4A62"/>
    <w:rsid w:val="006C30C5"/>
    <w:rsid w:val="006C4820"/>
    <w:rsid w:val="006D3B31"/>
    <w:rsid w:val="006E0D96"/>
    <w:rsid w:val="006E1A53"/>
    <w:rsid w:val="006F56E6"/>
    <w:rsid w:val="00704EDA"/>
    <w:rsid w:val="00712C48"/>
    <w:rsid w:val="00717232"/>
    <w:rsid w:val="00720B17"/>
    <w:rsid w:val="00721122"/>
    <w:rsid w:val="007342D5"/>
    <w:rsid w:val="00740575"/>
    <w:rsid w:val="00753019"/>
    <w:rsid w:val="00754801"/>
    <w:rsid w:val="00761441"/>
    <w:rsid w:val="007623C4"/>
    <w:rsid w:val="00794340"/>
    <w:rsid w:val="00795365"/>
    <w:rsid w:val="007A351D"/>
    <w:rsid w:val="007A3561"/>
    <w:rsid w:val="007B0BE3"/>
    <w:rsid w:val="007B0FE2"/>
    <w:rsid w:val="007B7765"/>
    <w:rsid w:val="007C5BDD"/>
    <w:rsid w:val="007C6A1F"/>
    <w:rsid w:val="007D45E3"/>
    <w:rsid w:val="007E6115"/>
    <w:rsid w:val="007F4609"/>
    <w:rsid w:val="00814468"/>
    <w:rsid w:val="008176A1"/>
    <w:rsid w:val="00820005"/>
    <w:rsid w:val="00843885"/>
    <w:rsid w:val="00844318"/>
    <w:rsid w:val="0084570C"/>
    <w:rsid w:val="0086061C"/>
    <w:rsid w:val="00863F5D"/>
    <w:rsid w:val="00867144"/>
    <w:rsid w:val="00870890"/>
    <w:rsid w:val="00873602"/>
    <w:rsid w:val="00875D12"/>
    <w:rsid w:val="00881CCE"/>
    <w:rsid w:val="008838D4"/>
    <w:rsid w:val="0088479D"/>
    <w:rsid w:val="00896889"/>
    <w:rsid w:val="00897DAF"/>
    <w:rsid w:val="008C2A11"/>
    <w:rsid w:val="008C5714"/>
    <w:rsid w:val="008D10B2"/>
    <w:rsid w:val="00903896"/>
    <w:rsid w:val="00906F3D"/>
    <w:rsid w:val="00915FBD"/>
    <w:rsid w:val="0094424E"/>
    <w:rsid w:val="00955642"/>
    <w:rsid w:val="009622DF"/>
    <w:rsid w:val="0096493F"/>
    <w:rsid w:val="00967DFF"/>
    <w:rsid w:val="00994341"/>
    <w:rsid w:val="00996935"/>
    <w:rsid w:val="009D1A48"/>
    <w:rsid w:val="009E1CE7"/>
    <w:rsid w:val="009E4EA5"/>
    <w:rsid w:val="009F164B"/>
    <w:rsid w:val="009F323C"/>
    <w:rsid w:val="00A14F2B"/>
    <w:rsid w:val="00A24264"/>
    <w:rsid w:val="00A3392B"/>
    <w:rsid w:val="00A577F3"/>
    <w:rsid w:val="00A67688"/>
    <w:rsid w:val="00A85E34"/>
    <w:rsid w:val="00A94B64"/>
    <w:rsid w:val="00AA3229"/>
    <w:rsid w:val="00AA7596"/>
    <w:rsid w:val="00AB5E52"/>
    <w:rsid w:val="00AC1527"/>
    <w:rsid w:val="00AC30D6"/>
    <w:rsid w:val="00AC3B02"/>
    <w:rsid w:val="00AC3B7B"/>
    <w:rsid w:val="00AC5209"/>
    <w:rsid w:val="00AD11A5"/>
    <w:rsid w:val="00AE0E34"/>
    <w:rsid w:val="00AE729E"/>
    <w:rsid w:val="00AE7752"/>
    <w:rsid w:val="00AF7FDA"/>
    <w:rsid w:val="00B376C0"/>
    <w:rsid w:val="00B5356E"/>
    <w:rsid w:val="00B809AD"/>
    <w:rsid w:val="00B80CBD"/>
    <w:rsid w:val="00B84633"/>
    <w:rsid w:val="00B86096"/>
    <w:rsid w:val="00B87347"/>
    <w:rsid w:val="00B964D9"/>
    <w:rsid w:val="00B977FC"/>
    <w:rsid w:val="00BA0A7C"/>
    <w:rsid w:val="00BA517C"/>
    <w:rsid w:val="00BB3D05"/>
    <w:rsid w:val="00BB73BE"/>
    <w:rsid w:val="00BC2D89"/>
    <w:rsid w:val="00BD097C"/>
    <w:rsid w:val="00BD5768"/>
    <w:rsid w:val="00BD6531"/>
    <w:rsid w:val="00BD7CAA"/>
    <w:rsid w:val="00BE05B2"/>
    <w:rsid w:val="00BF1908"/>
    <w:rsid w:val="00BF19EB"/>
    <w:rsid w:val="00C115EC"/>
    <w:rsid w:val="00C22D93"/>
    <w:rsid w:val="00C23458"/>
    <w:rsid w:val="00C31120"/>
    <w:rsid w:val="00C34482"/>
    <w:rsid w:val="00C43648"/>
    <w:rsid w:val="00C50A9F"/>
    <w:rsid w:val="00C642FA"/>
    <w:rsid w:val="00C65B74"/>
    <w:rsid w:val="00C7476C"/>
    <w:rsid w:val="00CA4EAA"/>
    <w:rsid w:val="00CC4DB9"/>
    <w:rsid w:val="00CC7622"/>
    <w:rsid w:val="00CD608F"/>
    <w:rsid w:val="00CF6BB7"/>
    <w:rsid w:val="00D04AA4"/>
    <w:rsid w:val="00D104A7"/>
    <w:rsid w:val="00D26F26"/>
    <w:rsid w:val="00D27982"/>
    <w:rsid w:val="00D33B86"/>
    <w:rsid w:val="00D44968"/>
    <w:rsid w:val="00D53924"/>
    <w:rsid w:val="00D55D0C"/>
    <w:rsid w:val="00D75082"/>
    <w:rsid w:val="00D8313A"/>
    <w:rsid w:val="00D857CC"/>
    <w:rsid w:val="00D93DD8"/>
    <w:rsid w:val="00D96D8C"/>
    <w:rsid w:val="00DA6649"/>
    <w:rsid w:val="00DB1E9F"/>
    <w:rsid w:val="00DB3BC6"/>
    <w:rsid w:val="00DC1259"/>
    <w:rsid w:val="00DC1BD2"/>
    <w:rsid w:val="00DC2571"/>
    <w:rsid w:val="00DC487C"/>
    <w:rsid w:val="00DC7C9F"/>
    <w:rsid w:val="00DE1E7D"/>
    <w:rsid w:val="00DE6BF6"/>
    <w:rsid w:val="00E04E84"/>
    <w:rsid w:val="00E1068A"/>
    <w:rsid w:val="00E25884"/>
    <w:rsid w:val="00E25B55"/>
    <w:rsid w:val="00E31C2B"/>
    <w:rsid w:val="00E33A14"/>
    <w:rsid w:val="00E3694F"/>
    <w:rsid w:val="00E5426A"/>
    <w:rsid w:val="00E54642"/>
    <w:rsid w:val="00E54CD9"/>
    <w:rsid w:val="00E57780"/>
    <w:rsid w:val="00E71AF5"/>
    <w:rsid w:val="00E80CBE"/>
    <w:rsid w:val="00E82903"/>
    <w:rsid w:val="00E94513"/>
    <w:rsid w:val="00E962E3"/>
    <w:rsid w:val="00EB03E0"/>
    <w:rsid w:val="00EB6C79"/>
    <w:rsid w:val="00EC37E9"/>
    <w:rsid w:val="00ED0C8E"/>
    <w:rsid w:val="00F01ECD"/>
    <w:rsid w:val="00F038D8"/>
    <w:rsid w:val="00F06995"/>
    <w:rsid w:val="00F13623"/>
    <w:rsid w:val="00F44D1D"/>
    <w:rsid w:val="00F84B6D"/>
    <w:rsid w:val="00F86BF9"/>
    <w:rsid w:val="00F957E8"/>
    <w:rsid w:val="00FA311A"/>
    <w:rsid w:val="00FA5FDA"/>
    <w:rsid w:val="00FB6AB3"/>
    <w:rsid w:val="00FC6251"/>
    <w:rsid w:val="00FD1419"/>
    <w:rsid w:val="00FD6BFF"/>
    <w:rsid w:val="00FD79E4"/>
    <w:rsid w:val="00FE2818"/>
    <w:rsid w:val="00FE2894"/>
    <w:rsid w:val="00FF5C0B"/>
    <w:rsid w:val="00FF6C6D"/>
    <w:rsid w:val="00FF6F5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4D3EDE"/>
    <w:pPr>
      <w:ind w:left="720"/>
      <w:contextualSpacing/>
    </w:pPr>
  </w:style>
  <w:style w:type="character" w:styleId="Hyperlink">
    <w:name w:val="Hyperlink"/>
    <w:basedOn w:val="a0"/>
    <w:uiPriority w:val="99"/>
    <w:unhideWhenUsed/>
    <w:rsid w:val="005823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24092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1569F" w:rsidP="0021569F">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1569F"/>
    <w:rsid w:val="002A56A9"/>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BF475A"/>
    <w:rsid w:val="00C96C06"/>
    <w:rsid w:val="00CB54D4"/>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21569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1316</Words>
  <Characters>6585</Characters>
  <Application>Microsoft Office Word</Application>
  <DocSecurity>0</DocSecurity>
  <Lines>54</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2024-12-16T09:17:00Z</cp:lastPrinted>
  <dcterms:created xsi:type="dcterms:W3CDTF">2024-12-18T11:04:00Z</dcterms:created>
  <dcterms:modified xsi:type="dcterms:W3CDTF">2024-12-18T11:04:00Z</dcterms:modified>
</cp:coreProperties>
</file>